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D1" w:rsidRPr="00B7287A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POLSKI ZWIĄZEK MOTOROWY</w:t>
      </w:r>
    </w:p>
    <w:p w:rsidR="00B216D1" w:rsidRPr="00B7287A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OKRĘGOWY ZESPÓŁ DZIAŁALNOŚCI GOSPODARCZEJ</w:t>
      </w:r>
    </w:p>
    <w:p w:rsidR="00B216D1" w:rsidRPr="00B7287A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SPÓŁKA Z OGRANICZONĄ ODPOWIEDZIALNOŚCIĄ</w:t>
      </w:r>
    </w:p>
    <w:p w:rsidR="00B216D1" w:rsidRPr="009160C9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ul. </w:t>
      </w:r>
      <w:r w:rsidRPr="00B7287A">
        <w:rPr>
          <w:rFonts w:ascii="Verdana" w:hAnsi="Verdana"/>
          <w:sz w:val="22"/>
          <w:szCs w:val="22"/>
        </w:rPr>
        <w:t>Na Niskich Łąkach nr 4</w:t>
      </w:r>
    </w:p>
    <w:p w:rsidR="00B216D1" w:rsidRPr="009160C9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B7287A">
        <w:rPr>
          <w:rFonts w:ascii="Verdana" w:hAnsi="Verdana"/>
          <w:sz w:val="22"/>
          <w:szCs w:val="22"/>
        </w:rPr>
        <w:t>50-422</w:t>
      </w:r>
      <w:r w:rsidRPr="00AC12CC">
        <w:rPr>
          <w:rFonts w:ascii="Verdana" w:hAnsi="Verdana"/>
          <w:sz w:val="18"/>
          <w:szCs w:val="18"/>
        </w:rPr>
        <w:t xml:space="preserve"> </w:t>
      </w:r>
      <w:r w:rsidRPr="009160C9">
        <w:rPr>
          <w:rFonts w:ascii="Verdana" w:hAnsi="Verdana"/>
          <w:sz w:val="22"/>
          <w:szCs w:val="22"/>
        </w:rPr>
        <w:t>Wrocław</w:t>
      </w:r>
    </w:p>
    <w:p w:rsidR="00B216D1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747438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 xml:space="preserve">26 </w:t>
      </w:r>
      <w:r w:rsidRPr="00747438">
        <w:rPr>
          <w:rFonts w:ascii="Verdana" w:hAnsi="Verdana"/>
          <w:sz w:val="22"/>
          <w:szCs w:val="22"/>
        </w:rPr>
        <w:t>stycznia 2022 r.</w:t>
      </w:r>
    </w:p>
    <w:p w:rsidR="00B216D1" w:rsidRPr="009160C9" w:rsidRDefault="00B216D1" w:rsidP="00C54B10">
      <w:pPr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.57</w:t>
      </w:r>
      <w:r w:rsidRPr="009160C9">
        <w:rPr>
          <w:rFonts w:ascii="Verdana" w:hAnsi="Verdana"/>
          <w:sz w:val="22"/>
          <w:szCs w:val="22"/>
        </w:rPr>
        <w:t>.2021</w:t>
      </w:r>
    </w:p>
    <w:p w:rsidR="00B216D1" w:rsidRPr="00747438" w:rsidRDefault="00B216D1" w:rsidP="00C54B10">
      <w:pPr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0B0438">
        <w:rPr>
          <w:rFonts w:ascii="Verdana" w:hAnsi="Verdana"/>
          <w:sz w:val="22"/>
          <w:szCs w:val="22"/>
        </w:rPr>
        <w:t>00137345</w:t>
      </w:r>
      <w:r w:rsidRPr="00747438">
        <w:rPr>
          <w:rFonts w:ascii="Verdana" w:hAnsi="Verdana"/>
          <w:sz w:val="22"/>
          <w:szCs w:val="22"/>
        </w:rPr>
        <w:t>/2021/W</w:t>
      </w:r>
    </w:p>
    <w:p w:rsidR="00B216D1" w:rsidRPr="009160C9" w:rsidRDefault="00B216D1" w:rsidP="00C54B10">
      <w:pPr>
        <w:pStyle w:val="Bezodstpw"/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B216D1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b ust. 2 pkt 2 ustawy Prawo o ruchu drogowym (t.j. Dz. U. z 2021 r. poz. 450 z późn. zm.) – zwanej dalej ustawą.</w:t>
      </w:r>
    </w:p>
    <w:p w:rsidR="00B216D1" w:rsidRPr="00B7287A" w:rsidRDefault="00B216D1" w:rsidP="00C54B10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 w:rsidRPr="00B7287A">
        <w:rPr>
          <w:rFonts w:ascii="Verdana" w:hAnsi="Verdana"/>
          <w:sz w:val="22"/>
          <w:szCs w:val="22"/>
        </w:rPr>
        <w:t>POLSKI ZWIĄZEK MOTOROWY</w:t>
      </w:r>
      <w:r>
        <w:rPr>
          <w:rFonts w:ascii="Verdana" w:hAnsi="Verdana"/>
          <w:sz w:val="22"/>
          <w:szCs w:val="22"/>
        </w:rPr>
        <w:t xml:space="preserve"> </w:t>
      </w:r>
      <w:r w:rsidRPr="00B7287A">
        <w:rPr>
          <w:rFonts w:ascii="Verdana" w:hAnsi="Verdana"/>
          <w:sz w:val="22"/>
          <w:szCs w:val="22"/>
        </w:rPr>
        <w:t xml:space="preserve">OKRĘGOWY ZESPÓŁ </w:t>
      </w:r>
      <w:r>
        <w:rPr>
          <w:rFonts w:ascii="Verdana" w:hAnsi="Verdana"/>
          <w:sz w:val="22"/>
          <w:szCs w:val="22"/>
        </w:rPr>
        <w:t>D</w:t>
      </w:r>
      <w:r w:rsidRPr="00B7287A">
        <w:rPr>
          <w:rFonts w:ascii="Verdana" w:hAnsi="Verdana"/>
          <w:sz w:val="22"/>
          <w:szCs w:val="22"/>
        </w:rPr>
        <w:t xml:space="preserve">ZIAŁALNOŚCI GOSPODARCZEJ SPÓŁKA Z OGRANICZONĄ </w:t>
      </w:r>
      <w:r>
        <w:rPr>
          <w:rFonts w:ascii="Verdana" w:hAnsi="Verdana"/>
          <w:sz w:val="22"/>
          <w:szCs w:val="22"/>
        </w:rPr>
        <w:t>O</w:t>
      </w:r>
      <w:r w:rsidRPr="00B7287A">
        <w:rPr>
          <w:rFonts w:ascii="Verdana" w:hAnsi="Verdana"/>
          <w:sz w:val="22"/>
          <w:szCs w:val="22"/>
        </w:rPr>
        <w:t>DPOWIEDZIALNOŚCIĄ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Wrocławia pod nr ewidencyjnym DW/0</w:t>
      </w:r>
      <w:r>
        <w:rPr>
          <w:rFonts w:ascii="Verdana" w:hAnsi="Verdana"/>
          <w:sz w:val="22"/>
          <w:szCs w:val="22"/>
        </w:rPr>
        <w:t>36</w:t>
      </w:r>
      <w:r w:rsidRPr="009160C9">
        <w:rPr>
          <w:rFonts w:ascii="Verdana" w:hAnsi="Verdana"/>
          <w:sz w:val="22"/>
          <w:szCs w:val="22"/>
        </w:rPr>
        <w:t xml:space="preserve">/P, ze wskazanym adresem wykonywania działalności: ul. </w:t>
      </w:r>
      <w:r w:rsidRPr="00B7287A">
        <w:rPr>
          <w:rFonts w:ascii="Verdana" w:hAnsi="Verdana"/>
          <w:sz w:val="22"/>
          <w:szCs w:val="22"/>
        </w:rPr>
        <w:t>Na Niskich Łąkach nr 4, 50-422 Wrocław.</w:t>
      </w:r>
    </w:p>
    <w:p w:rsidR="00B216D1" w:rsidRPr="009160C9" w:rsidRDefault="00B216D1" w:rsidP="00C54B10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B216D1" w:rsidRPr="009160C9" w:rsidRDefault="00B216D1" w:rsidP="00C54B10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216D1" w:rsidRPr="009160C9" w:rsidRDefault="00B216D1" w:rsidP="00C54B10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216D1" w:rsidRPr="009160C9" w:rsidRDefault="00B216D1" w:rsidP="00C54B10">
      <w:pPr>
        <w:numPr>
          <w:ilvl w:val="0"/>
          <w:numId w:val="21"/>
        </w:numPr>
        <w:tabs>
          <w:tab w:val="clear" w:pos="440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B216D1" w:rsidRPr="009160C9" w:rsidRDefault="00B216D1" w:rsidP="00C54B10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57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29</w:t>
      </w:r>
      <w:r w:rsidRPr="009160C9">
        <w:rPr>
          <w:rFonts w:ascii="Verdana" w:hAnsi="Verdana"/>
          <w:sz w:val="22"/>
          <w:szCs w:val="22"/>
        </w:rPr>
        <w:t xml:space="preserve"> grudnia 2021 r., do którego przedsiębiorca nie wniósł zastrzeżeń.</w:t>
      </w:r>
    </w:p>
    <w:p w:rsidR="00B216D1" w:rsidRDefault="00B216D1" w:rsidP="00C54B10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B216D1" w:rsidRPr="009160C9" w:rsidRDefault="00B216D1" w:rsidP="00C54B10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Nie stwierdzono nieprawidłowości w zakresie zgodności stacji z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wymaganiami, o których mowa w art. 83 ust. 3 ustawy.</w:t>
      </w:r>
    </w:p>
    <w:p w:rsidR="00B216D1" w:rsidRPr="009160C9" w:rsidRDefault="00B216D1" w:rsidP="00C54B10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B216D1" w:rsidRPr="009160C9" w:rsidRDefault="00B216D1" w:rsidP="00C54B10">
      <w:pPr>
        <w:numPr>
          <w:ilvl w:val="0"/>
          <w:numId w:val="20"/>
        </w:numPr>
        <w:suppressAutoHyphens/>
        <w:spacing w:line="276" w:lineRule="auto"/>
        <w:ind w:left="425" w:hanging="414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B216D1" w:rsidRPr="009140E5" w:rsidRDefault="00B216D1" w:rsidP="00C54B10">
      <w:pPr>
        <w:numPr>
          <w:ilvl w:val="0"/>
          <w:numId w:val="23"/>
        </w:numPr>
        <w:suppressAutoHyphens/>
        <w:spacing w:line="276" w:lineRule="auto"/>
        <w:ind w:left="425" w:hanging="425"/>
        <w:rPr>
          <w:rFonts w:ascii="Verdana" w:hAnsi="Verdana"/>
          <w:sz w:val="22"/>
          <w:szCs w:val="22"/>
        </w:rPr>
      </w:pPr>
      <w:r w:rsidRPr="009140E5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 xml:space="preserve">rejestrze badań technicznych w jednym przypadku wpisano nieprawidłowy rodzaj badania, co stanowi </w:t>
      </w:r>
      <w:r w:rsidRPr="004058D5">
        <w:rPr>
          <w:rFonts w:ascii="Verdana" w:hAnsi="Verdana"/>
          <w:sz w:val="22"/>
          <w:szCs w:val="22"/>
        </w:rPr>
        <w:t>naruszenie</w:t>
      </w:r>
      <w:r>
        <w:rPr>
          <w:rFonts w:ascii="Verdana" w:hAnsi="Verdana"/>
          <w:sz w:val="22"/>
          <w:szCs w:val="22"/>
        </w:rPr>
        <w:t xml:space="preserve"> ust. 2 </w:t>
      </w:r>
      <w:r w:rsidRPr="004058D5">
        <w:rPr>
          <w:rFonts w:ascii="Verdana" w:hAnsi="Verdana"/>
          <w:sz w:val="22"/>
          <w:szCs w:val="22"/>
        </w:rPr>
        <w:t xml:space="preserve">pkt </w:t>
      </w:r>
      <w:r>
        <w:rPr>
          <w:rFonts w:ascii="Verdana" w:hAnsi="Verdana"/>
          <w:sz w:val="22"/>
          <w:szCs w:val="22"/>
        </w:rPr>
        <w:t>6 załącznika nr 8</w:t>
      </w:r>
      <w:r w:rsidRPr="004058D5">
        <w:rPr>
          <w:rFonts w:ascii="Verdana" w:hAnsi="Verdana"/>
          <w:sz w:val="22"/>
          <w:szCs w:val="22"/>
        </w:rPr>
        <w:t xml:space="preserve"> </w:t>
      </w:r>
      <w:r w:rsidRPr="009140E5">
        <w:rPr>
          <w:rFonts w:ascii="Verdana" w:hAnsi="Verdana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>
        <w:rPr>
          <w:rFonts w:ascii="Verdana" w:hAnsi="Verdana"/>
          <w:sz w:val="22"/>
          <w:szCs w:val="22"/>
        </w:rPr>
        <w:t>)</w:t>
      </w:r>
      <w:r w:rsidRPr="009140E5">
        <w:rPr>
          <w:rFonts w:ascii="Verdana" w:hAnsi="Verdana"/>
          <w:sz w:val="22"/>
          <w:szCs w:val="22"/>
        </w:rPr>
        <w:t xml:space="preserve"> – zwan</w:t>
      </w:r>
      <w:r>
        <w:rPr>
          <w:rFonts w:ascii="Verdana" w:hAnsi="Verdana"/>
          <w:sz w:val="22"/>
          <w:szCs w:val="22"/>
        </w:rPr>
        <w:t>ego dalej rozporządzeniem MTBiG.</w:t>
      </w:r>
    </w:p>
    <w:p w:rsidR="00B216D1" w:rsidRPr="004058D5" w:rsidRDefault="00B216D1" w:rsidP="00C54B10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rejestrze wpisano nieprawidłową informację dotyczącą uiszczenia opłaty ewidencyjnej</w:t>
      </w:r>
      <w:r w:rsidRPr="00747438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4058D5">
        <w:rPr>
          <w:rFonts w:ascii="Verdana" w:hAnsi="Verdana"/>
          <w:sz w:val="22"/>
          <w:szCs w:val="22"/>
        </w:rPr>
        <w:t xml:space="preserve">co stanowi naruszenie </w:t>
      </w:r>
      <w:r>
        <w:rPr>
          <w:rFonts w:ascii="Verdana" w:hAnsi="Verdana"/>
          <w:sz w:val="22"/>
          <w:szCs w:val="22"/>
        </w:rPr>
        <w:t xml:space="preserve">ust. 2 </w:t>
      </w:r>
      <w:r w:rsidRPr="004058D5">
        <w:rPr>
          <w:rFonts w:ascii="Verdana" w:hAnsi="Verdana"/>
          <w:sz w:val="22"/>
          <w:szCs w:val="22"/>
        </w:rPr>
        <w:t xml:space="preserve">pkt </w:t>
      </w:r>
      <w:r>
        <w:rPr>
          <w:rFonts w:ascii="Verdana" w:hAnsi="Verdana"/>
          <w:sz w:val="22"/>
          <w:szCs w:val="22"/>
        </w:rPr>
        <w:t>11 załącznika nr 8</w:t>
      </w:r>
      <w:r w:rsidRPr="004058D5">
        <w:rPr>
          <w:rFonts w:ascii="Verdana" w:hAnsi="Verdana"/>
          <w:sz w:val="22"/>
          <w:szCs w:val="22"/>
        </w:rPr>
        <w:t xml:space="preserve"> do rozporządzenia</w:t>
      </w:r>
      <w:r>
        <w:rPr>
          <w:rFonts w:ascii="Verdana" w:hAnsi="Verdana"/>
          <w:sz w:val="22"/>
          <w:szCs w:val="22"/>
        </w:rPr>
        <w:t xml:space="preserve"> MTBiG.</w:t>
      </w:r>
    </w:p>
    <w:p w:rsidR="00B216D1" w:rsidRPr="00AB6E68" w:rsidRDefault="00B216D1" w:rsidP="00C54B10">
      <w:pPr>
        <w:numPr>
          <w:ilvl w:val="0"/>
          <w:numId w:val="23"/>
        </w:numPr>
        <w:suppressAutoHyphens/>
        <w:spacing w:line="276" w:lineRule="auto"/>
        <w:ind w:left="426" w:hanging="426"/>
        <w:rPr>
          <w:rFonts w:ascii="Verdana" w:hAnsi="Verdana"/>
          <w:color w:val="000000"/>
          <w:sz w:val="22"/>
          <w:szCs w:val="22"/>
        </w:rPr>
      </w:pPr>
      <w:r w:rsidRPr="00812E43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trzech przypadkach bez uzasadnienia pobrano opłatę ewidencyjną, co stanowi naruszenie art. 83 ust. 1 ustawy oraz</w:t>
      </w:r>
      <w:r w:rsidRPr="00812E43">
        <w:rPr>
          <w:rFonts w:ascii="Verdana" w:hAnsi="Verdana"/>
          <w:color w:val="000000"/>
          <w:sz w:val="22"/>
          <w:szCs w:val="22"/>
        </w:rPr>
        <w:t xml:space="preserve"> §</w:t>
      </w:r>
      <w:r>
        <w:rPr>
          <w:rFonts w:ascii="Verdana" w:hAnsi="Verdana"/>
          <w:color w:val="000000"/>
          <w:sz w:val="22"/>
          <w:szCs w:val="22"/>
        </w:rPr>
        <w:t xml:space="preserve"> 2 ust. 1 pkt 2 lit. c) </w:t>
      </w:r>
      <w:r w:rsidRPr="00812E43">
        <w:rPr>
          <w:rFonts w:ascii="Verdana" w:hAnsi="Verdana"/>
          <w:sz w:val="22"/>
          <w:szCs w:val="22"/>
        </w:rPr>
        <w:t>rozporządzenia MTBiG.</w:t>
      </w:r>
    </w:p>
    <w:p w:rsidR="00B216D1" w:rsidRPr="00470A21" w:rsidRDefault="00B216D1" w:rsidP="00C54B10">
      <w:pPr>
        <w:numPr>
          <w:ilvl w:val="0"/>
          <w:numId w:val="23"/>
        </w:numPr>
        <w:suppressAutoHyphens/>
        <w:spacing w:line="276" w:lineRule="auto"/>
        <w:ind w:left="426" w:hanging="426"/>
        <w:rPr>
          <w:sz w:val="20"/>
          <w:szCs w:val="20"/>
        </w:rPr>
      </w:pPr>
      <w:r w:rsidRPr="00470A21">
        <w:rPr>
          <w:rFonts w:ascii="Verdana" w:hAnsi="Verdana"/>
          <w:sz w:val="22"/>
          <w:szCs w:val="22"/>
        </w:rPr>
        <w:t xml:space="preserve">W ośmiu </w:t>
      </w:r>
      <w:r>
        <w:rPr>
          <w:rFonts w:ascii="Verdana" w:hAnsi="Verdana"/>
          <w:sz w:val="22"/>
          <w:szCs w:val="22"/>
        </w:rPr>
        <w:t>przypadkach nie</w:t>
      </w:r>
      <w:r w:rsidRPr="00470A21">
        <w:rPr>
          <w:rFonts w:ascii="Verdana" w:hAnsi="Verdana"/>
          <w:sz w:val="22"/>
          <w:szCs w:val="22"/>
        </w:rPr>
        <w:t xml:space="preserve"> przekazan</w:t>
      </w:r>
      <w:r>
        <w:rPr>
          <w:rFonts w:ascii="Verdana" w:hAnsi="Verdana"/>
          <w:sz w:val="22"/>
          <w:szCs w:val="22"/>
        </w:rPr>
        <w:t>o</w:t>
      </w:r>
      <w:r w:rsidRPr="00470A21">
        <w:rPr>
          <w:rFonts w:ascii="Verdana" w:hAnsi="Verdana"/>
          <w:sz w:val="22"/>
          <w:szCs w:val="22"/>
        </w:rPr>
        <w:t>, danych o przeprowadzonych badaniach technicznych pojazdów do Centralnej Ewidencji Pojazdów, co stanowi naruszenie § 3 ust. 2 rozporządzenia Ministra Spraw Wewnętrznych z dnia 18 czerwca 2014 r. w sprawie centralnej ewidencji pojazdów (Dz. U. z 2014 r. poz. 816 z późn. zm.)</w:t>
      </w:r>
      <w:r>
        <w:rPr>
          <w:rFonts w:ascii="Verdana" w:hAnsi="Verdana"/>
          <w:sz w:val="22"/>
          <w:szCs w:val="22"/>
        </w:rPr>
        <w:t>.</w:t>
      </w:r>
    </w:p>
    <w:p w:rsidR="00B216D1" w:rsidRDefault="00B216D1" w:rsidP="00C54B10">
      <w:pPr>
        <w:suppressAutoHyphens/>
        <w:spacing w:before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B216D1" w:rsidRPr="00951B9A" w:rsidRDefault="00B216D1" w:rsidP="00C54B1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 xml:space="preserve">rejestrze prawidłowego </w:t>
      </w:r>
      <w:r w:rsidRPr="00747438">
        <w:rPr>
          <w:rFonts w:ascii="Verdana" w:hAnsi="Verdana"/>
          <w:color w:val="000000"/>
          <w:sz w:val="22"/>
          <w:szCs w:val="22"/>
        </w:rPr>
        <w:t>rodzaj</w:t>
      </w:r>
      <w:r>
        <w:rPr>
          <w:rFonts w:ascii="Verdana" w:hAnsi="Verdana"/>
          <w:color w:val="000000"/>
          <w:sz w:val="22"/>
          <w:szCs w:val="22"/>
        </w:rPr>
        <w:t>u</w:t>
      </w:r>
      <w:r w:rsidRPr="00747438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badania</w:t>
      </w:r>
      <w:r w:rsidRPr="00747438">
        <w:rPr>
          <w:rFonts w:ascii="Verdana" w:hAnsi="Verdana"/>
          <w:color w:val="000000"/>
          <w:sz w:val="22"/>
          <w:szCs w:val="22"/>
        </w:rPr>
        <w:t>.</w:t>
      </w:r>
    </w:p>
    <w:p w:rsidR="00B216D1" w:rsidRDefault="00B216D1" w:rsidP="00C54B1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2.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>rejestrze prawidłowych informacji dotyczących uiszczenia opłaty ewidencyjnej.</w:t>
      </w:r>
    </w:p>
    <w:p w:rsidR="00B216D1" w:rsidRDefault="00B216D1" w:rsidP="00C54B1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</w:t>
      </w:r>
      <w:r w:rsidRPr="001D4C99">
        <w:rPr>
          <w:rFonts w:ascii="Verdana" w:hAnsi="Verdana"/>
          <w:color w:val="000000"/>
          <w:sz w:val="22"/>
          <w:szCs w:val="22"/>
        </w:rPr>
        <w:t>.</w:t>
      </w:r>
      <w:r w:rsidRPr="001D4C99"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>Pobieranie opłat ewidencyjnych tylko za wykonanie badania technicznego pojazdu.</w:t>
      </w:r>
    </w:p>
    <w:p w:rsidR="00B216D1" w:rsidRDefault="00C54B10" w:rsidP="00C54B1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4.</w:t>
      </w:r>
      <w:r>
        <w:rPr>
          <w:rFonts w:ascii="Verdana" w:hAnsi="Verdana"/>
          <w:color w:val="000000"/>
          <w:sz w:val="22"/>
          <w:szCs w:val="22"/>
        </w:rPr>
        <w:tab/>
      </w:r>
      <w:r w:rsidR="00B216D1" w:rsidRPr="00470A21">
        <w:rPr>
          <w:rFonts w:ascii="Verdana" w:hAnsi="Verdana"/>
          <w:color w:val="000000"/>
          <w:sz w:val="22"/>
          <w:szCs w:val="22"/>
        </w:rPr>
        <w:t>Przekazywanie do Centralnej Ewidencji Pojazdów dany</w:t>
      </w:r>
      <w:r w:rsidR="00B216D1">
        <w:rPr>
          <w:rFonts w:ascii="Verdana" w:hAnsi="Verdana"/>
          <w:color w:val="000000"/>
          <w:sz w:val="22"/>
          <w:szCs w:val="22"/>
        </w:rPr>
        <w:t xml:space="preserve">ch </w:t>
      </w:r>
      <w:r w:rsidR="00B216D1" w:rsidRPr="00470A21">
        <w:rPr>
          <w:rFonts w:ascii="Verdana" w:hAnsi="Verdana"/>
          <w:color w:val="000000"/>
          <w:sz w:val="22"/>
          <w:szCs w:val="22"/>
        </w:rPr>
        <w:t>o przeprowadzonych badaniach technicznych po dokonaniu badań, nie później jednak niż w ciągu 3 dni roboczych od dnia ich wykonania.</w:t>
      </w:r>
    </w:p>
    <w:p w:rsidR="00B216D1" w:rsidRDefault="00B216D1" w:rsidP="00C54B10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D4C99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onadto p</w:t>
      </w:r>
      <w:r w:rsidRPr="001D4C99">
        <w:rPr>
          <w:rFonts w:ascii="Verdana" w:hAnsi="Verdana"/>
          <w:sz w:val="22"/>
          <w:szCs w:val="22"/>
        </w:rPr>
        <w:t>rzedsiębiorca nieterminowo złożył wniosek o zmianę wpisu w rejestrze przedsiębiorców prowadzących stacje kontroli pojazdów</w:t>
      </w:r>
      <w:r>
        <w:rPr>
          <w:rFonts w:ascii="Verdana" w:hAnsi="Verdana"/>
          <w:sz w:val="22"/>
          <w:szCs w:val="22"/>
        </w:rPr>
        <w:t>,</w:t>
      </w:r>
      <w:r w:rsidR="0054570F">
        <w:rPr>
          <w:rFonts w:ascii="Verdana" w:hAnsi="Verdana"/>
          <w:sz w:val="22"/>
          <w:szCs w:val="22"/>
        </w:rPr>
        <w:t xml:space="preserve"> </w:t>
      </w:r>
      <w:r w:rsidRPr="001D4C99">
        <w:rPr>
          <w:rFonts w:ascii="Verdana" w:hAnsi="Verdana"/>
          <w:sz w:val="22"/>
          <w:szCs w:val="22"/>
        </w:rPr>
        <w:t xml:space="preserve">w zakresie </w:t>
      </w:r>
      <w:r>
        <w:rPr>
          <w:rFonts w:ascii="Verdana" w:hAnsi="Verdana"/>
          <w:sz w:val="22"/>
          <w:szCs w:val="22"/>
        </w:rPr>
        <w:t>ustania zatrudnienia diagnosty</w:t>
      </w:r>
      <w:r w:rsidRPr="001D4C99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co stanowi </w:t>
      </w:r>
      <w:r w:rsidRPr="001D4C99">
        <w:rPr>
          <w:rFonts w:ascii="Verdana" w:hAnsi="Verdana"/>
          <w:sz w:val="22"/>
          <w:szCs w:val="22"/>
        </w:rPr>
        <w:t>narusz</w:t>
      </w:r>
      <w:r>
        <w:rPr>
          <w:rFonts w:ascii="Verdana" w:hAnsi="Verdana"/>
          <w:sz w:val="22"/>
          <w:szCs w:val="22"/>
        </w:rPr>
        <w:t>enie</w:t>
      </w:r>
      <w:r w:rsidRPr="001D4C99">
        <w:rPr>
          <w:rFonts w:ascii="Verdana" w:hAnsi="Verdana"/>
          <w:sz w:val="22"/>
          <w:szCs w:val="22"/>
        </w:rPr>
        <w:t xml:space="preserve"> art. 83a</w:t>
      </w:r>
      <w:r w:rsidR="00C54B10">
        <w:rPr>
          <w:rFonts w:ascii="Verdana" w:hAnsi="Verdana"/>
          <w:sz w:val="22"/>
          <w:szCs w:val="22"/>
        </w:rPr>
        <w:t xml:space="preserve"> </w:t>
      </w:r>
      <w:r w:rsidRPr="001D4C99">
        <w:rPr>
          <w:rFonts w:ascii="Verdana" w:hAnsi="Verdana"/>
          <w:sz w:val="22"/>
          <w:szCs w:val="22"/>
        </w:rPr>
        <w:t>b ust</w:t>
      </w:r>
      <w:r>
        <w:rPr>
          <w:rFonts w:ascii="Verdana" w:hAnsi="Verdana"/>
          <w:sz w:val="22"/>
          <w:szCs w:val="22"/>
        </w:rPr>
        <w:t>.</w:t>
      </w:r>
      <w:r w:rsidRPr="001D4C99">
        <w:rPr>
          <w:rFonts w:ascii="Verdana" w:hAnsi="Verdana"/>
          <w:sz w:val="22"/>
          <w:szCs w:val="22"/>
        </w:rPr>
        <w:t xml:space="preserve"> 2 ustawy.</w:t>
      </w:r>
    </w:p>
    <w:p w:rsidR="00B216D1" w:rsidRPr="00AB6E68" w:rsidRDefault="00B216D1" w:rsidP="0054570F">
      <w:pPr>
        <w:suppressAutoHyphens/>
        <w:spacing w:after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Mając na uwadze powyższą nieprawidłowość zaleca się w przypadku zmiany danych wpisanych do rejestru, składać wnioski o zmianę wpisu w rejestrze,</w:t>
      </w:r>
      <w:r w:rsidR="00C54B10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w wymaganym terminie.</w:t>
      </w:r>
    </w:p>
    <w:p w:rsidR="00B216D1" w:rsidRPr="009160C9" w:rsidRDefault="00B216D1" w:rsidP="0054570F">
      <w:pPr>
        <w:suppressAutoHyphens/>
        <w:spacing w:after="20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011514" w:rsidRPr="00D2135C" w:rsidRDefault="00011514" w:rsidP="0054570F">
      <w:pPr>
        <w:suppressAutoHyphens/>
        <w:spacing w:after="36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lastRenderedPageBreak/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D2135C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3F0360" w:rsidRPr="007069CA" w:rsidRDefault="007069CA" w:rsidP="002C3E0C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7069CA" w:rsidRPr="007069CA" w:rsidRDefault="007069CA" w:rsidP="002C3E0C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7069CA" w:rsidRPr="007069CA" w:rsidRDefault="007069CA" w:rsidP="002C3E0C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3F0360" w:rsidRPr="007069CA" w:rsidRDefault="003F0360" w:rsidP="002C3E0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Do wiadomości:</w:t>
      </w:r>
    </w:p>
    <w:p w:rsidR="003F0360" w:rsidRPr="007069CA" w:rsidRDefault="003F0360" w:rsidP="002C3E0C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>Pani Bożena Bronowicka – Dyrektor WSO UMW wraz z protokołem kontroli WKN-KSO.5421.</w:t>
      </w:r>
      <w:r w:rsidR="00C54B10">
        <w:rPr>
          <w:bCs/>
          <w:sz w:val="22"/>
          <w:szCs w:val="22"/>
        </w:rPr>
        <w:t>57</w:t>
      </w:r>
      <w:r w:rsidRPr="007069CA">
        <w:rPr>
          <w:bCs/>
          <w:sz w:val="22"/>
          <w:szCs w:val="22"/>
        </w:rPr>
        <w:t>.2021 w</w:t>
      </w:r>
      <w:r w:rsidR="007069CA" w:rsidRPr="007069CA">
        <w:rPr>
          <w:bCs/>
          <w:sz w:val="22"/>
          <w:szCs w:val="22"/>
        </w:rPr>
        <w:t xml:space="preserve"> </w:t>
      </w:r>
      <w:r w:rsidRPr="007069CA">
        <w:rPr>
          <w:bCs/>
          <w:sz w:val="22"/>
          <w:szCs w:val="22"/>
        </w:rPr>
        <w:t>wersji elektronicznej.</w:t>
      </w:r>
    </w:p>
    <w:sectPr w:rsidR="003F0360" w:rsidRPr="007069CA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976" w:rsidRDefault="00561976" w:rsidP="00260C77">
      <w:r>
        <w:separator/>
      </w:r>
    </w:p>
  </w:endnote>
  <w:endnote w:type="continuationSeparator" w:id="0">
    <w:p w:rsidR="00561976" w:rsidRDefault="00561976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C502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C502B">
      <w:rPr>
        <w:sz w:val="14"/>
        <w:szCs w:val="14"/>
      </w:rPr>
      <w:fldChar w:fldCharType="separate"/>
    </w:r>
    <w:r w:rsidR="00C71208">
      <w:rPr>
        <w:noProof/>
        <w:sz w:val="14"/>
        <w:szCs w:val="14"/>
      </w:rPr>
      <w:t>3</w:t>
    </w:r>
    <w:r w:rsidR="000C502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C502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C502B">
      <w:rPr>
        <w:sz w:val="14"/>
        <w:szCs w:val="14"/>
      </w:rPr>
      <w:fldChar w:fldCharType="separate"/>
    </w:r>
    <w:r w:rsidR="00C71208">
      <w:rPr>
        <w:noProof/>
        <w:sz w:val="14"/>
        <w:szCs w:val="14"/>
      </w:rPr>
      <w:t>3</w:t>
    </w:r>
    <w:r w:rsidR="000C502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C7120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5pt;height:59.1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976" w:rsidRDefault="00561976" w:rsidP="00260C77">
      <w:r>
        <w:separator/>
      </w:r>
    </w:p>
  </w:footnote>
  <w:footnote w:type="continuationSeparator" w:id="0">
    <w:p w:rsidR="00561976" w:rsidRDefault="00561976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C502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C502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FC72C4"/>
    <w:multiLevelType w:val="hybridMultilevel"/>
    <w:tmpl w:val="71A09506"/>
    <w:lvl w:ilvl="0" w:tplc="8A3EFF5A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7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8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19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11514"/>
    <w:rsid w:val="00043650"/>
    <w:rsid w:val="000638D1"/>
    <w:rsid w:val="00082780"/>
    <w:rsid w:val="000867A3"/>
    <w:rsid w:val="000A35A1"/>
    <w:rsid w:val="000C502B"/>
    <w:rsid w:val="000D2495"/>
    <w:rsid w:val="00110D2F"/>
    <w:rsid w:val="001400A9"/>
    <w:rsid w:val="001450E5"/>
    <w:rsid w:val="0017025B"/>
    <w:rsid w:val="00186FD3"/>
    <w:rsid w:val="00196D89"/>
    <w:rsid w:val="00217FE2"/>
    <w:rsid w:val="00260C77"/>
    <w:rsid w:val="00282F88"/>
    <w:rsid w:val="002A5477"/>
    <w:rsid w:val="002C3E0C"/>
    <w:rsid w:val="002F086C"/>
    <w:rsid w:val="00305EA8"/>
    <w:rsid w:val="00361B03"/>
    <w:rsid w:val="003669DC"/>
    <w:rsid w:val="00386C59"/>
    <w:rsid w:val="003A7611"/>
    <w:rsid w:val="003B04E3"/>
    <w:rsid w:val="003B12B6"/>
    <w:rsid w:val="003C0CD3"/>
    <w:rsid w:val="003F0360"/>
    <w:rsid w:val="004130FA"/>
    <w:rsid w:val="00424A99"/>
    <w:rsid w:val="0042788B"/>
    <w:rsid w:val="004315B9"/>
    <w:rsid w:val="0044633A"/>
    <w:rsid w:val="0045005C"/>
    <w:rsid w:val="00450570"/>
    <w:rsid w:val="004F378C"/>
    <w:rsid w:val="00500EC3"/>
    <w:rsid w:val="005324A8"/>
    <w:rsid w:val="0054570F"/>
    <w:rsid w:val="00550171"/>
    <w:rsid w:val="00561976"/>
    <w:rsid w:val="00564532"/>
    <w:rsid w:val="00566C54"/>
    <w:rsid w:val="00584512"/>
    <w:rsid w:val="0058688C"/>
    <w:rsid w:val="005E2A2F"/>
    <w:rsid w:val="00641684"/>
    <w:rsid w:val="006537D3"/>
    <w:rsid w:val="0065414D"/>
    <w:rsid w:val="006731D3"/>
    <w:rsid w:val="00690BA0"/>
    <w:rsid w:val="007069CA"/>
    <w:rsid w:val="00760383"/>
    <w:rsid w:val="00792D6A"/>
    <w:rsid w:val="007A2AE3"/>
    <w:rsid w:val="00847D1A"/>
    <w:rsid w:val="008D4103"/>
    <w:rsid w:val="008F62A6"/>
    <w:rsid w:val="00954567"/>
    <w:rsid w:val="00954F3A"/>
    <w:rsid w:val="00990FF9"/>
    <w:rsid w:val="009A0033"/>
    <w:rsid w:val="009B4E55"/>
    <w:rsid w:val="009F65B7"/>
    <w:rsid w:val="009F7E68"/>
    <w:rsid w:val="00A32219"/>
    <w:rsid w:val="00A3358E"/>
    <w:rsid w:val="00A42B3F"/>
    <w:rsid w:val="00A5041F"/>
    <w:rsid w:val="00AB4F5B"/>
    <w:rsid w:val="00AE320B"/>
    <w:rsid w:val="00AE6C94"/>
    <w:rsid w:val="00B216D1"/>
    <w:rsid w:val="00B36A33"/>
    <w:rsid w:val="00BC6C54"/>
    <w:rsid w:val="00C54B10"/>
    <w:rsid w:val="00C55990"/>
    <w:rsid w:val="00C633CD"/>
    <w:rsid w:val="00C71208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C59E4"/>
    <w:rsid w:val="00E14557"/>
    <w:rsid w:val="00E41E9C"/>
    <w:rsid w:val="00E4408D"/>
    <w:rsid w:val="00E537FB"/>
    <w:rsid w:val="00E557EE"/>
    <w:rsid w:val="00E738AB"/>
    <w:rsid w:val="00E76FAA"/>
    <w:rsid w:val="00EC52E3"/>
    <w:rsid w:val="00F108A8"/>
    <w:rsid w:val="00F27B2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C0BC7-D6F5-4CF4-93EE-B43DC4C1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umkatu01</cp:lastModifiedBy>
  <cp:revision>2</cp:revision>
  <cp:lastPrinted>2021-08-16T12:40:00Z</cp:lastPrinted>
  <dcterms:created xsi:type="dcterms:W3CDTF">2022-03-22T13:01:00Z</dcterms:created>
  <dcterms:modified xsi:type="dcterms:W3CDTF">2022-03-22T13:01:00Z</dcterms:modified>
</cp:coreProperties>
</file>