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F8" w:rsidRPr="00A41F3F" w:rsidRDefault="00285EF8" w:rsidP="00A41F3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Pan Ryszard Kalinowski</w:t>
      </w:r>
    </w:p>
    <w:p w:rsidR="00285EF8" w:rsidRPr="00A41F3F" w:rsidRDefault="00285EF8" w:rsidP="00A41F3F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RYSZARD KALINOWSKI</w:t>
      </w:r>
    </w:p>
    <w:p w:rsidR="00285EF8" w:rsidRPr="00A41F3F" w:rsidRDefault="00285EF8" w:rsidP="00A41F3F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ul. Lubuska nr 111 lok. 7</w:t>
      </w:r>
    </w:p>
    <w:p w:rsidR="00285EF8" w:rsidRPr="00A41F3F" w:rsidRDefault="00285EF8" w:rsidP="00A41F3F">
      <w:pPr>
        <w:spacing w:after="200" w:line="276" w:lineRule="auto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53-514 Wrocław</w:t>
      </w:r>
    </w:p>
    <w:p w:rsidR="00285EF8" w:rsidRPr="00A41F3F" w:rsidRDefault="00285EF8" w:rsidP="00A41F3F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Wrocław, 1 marca 2022 r.</w:t>
      </w:r>
    </w:p>
    <w:p w:rsidR="00285EF8" w:rsidRPr="00A41F3F" w:rsidRDefault="00285EF8" w:rsidP="00A41F3F">
      <w:pPr>
        <w:spacing w:after="200" w:line="276" w:lineRule="auto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WKN-KSO.5421.4.20.2021</w:t>
      </w:r>
    </w:p>
    <w:p w:rsidR="00285EF8" w:rsidRPr="00A41F3F" w:rsidRDefault="00285EF8" w:rsidP="00A41F3F">
      <w:pPr>
        <w:spacing w:after="200" w:line="276" w:lineRule="auto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00137285/2021/W</w:t>
      </w:r>
    </w:p>
    <w:p w:rsidR="00285EF8" w:rsidRPr="00A41F3F" w:rsidRDefault="00285EF8" w:rsidP="00A41F3F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ZALECENIA POKONTROLNE</w:t>
      </w:r>
    </w:p>
    <w:p w:rsidR="00285EF8" w:rsidRPr="00A41F3F" w:rsidRDefault="00285EF8" w:rsidP="00A41F3F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zm.) – zwanej dalej ustawą.</w:t>
      </w:r>
    </w:p>
    <w:p w:rsidR="00285EF8" w:rsidRPr="00A41F3F" w:rsidRDefault="00285EF8" w:rsidP="00A41F3F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outlineLvl w:val="8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przedsiębiorcę, RYSZARD KALINOWSKI, wpisanego do rejestru działalności regulowanej prowadzonego przez Prezydenta Wrocławia pod nr ewidencyjnym DW/094/P, ze wskazanym adresem wykonywania działalności: ul. Pęgowska nr 6, 51-180 Wrocław.</w:t>
      </w:r>
    </w:p>
    <w:p w:rsidR="00285EF8" w:rsidRPr="00A41F3F" w:rsidRDefault="00285EF8" w:rsidP="00A41F3F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Zakresem kontroli objęto:</w:t>
      </w:r>
    </w:p>
    <w:p w:rsidR="00285EF8" w:rsidRPr="00A41F3F" w:rsidRDefault="00285EF8" w:rsidP="00A41F3F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85EF8" w:rsidRPr="00A41F3F" w:rsidRDefault="00285EF8" w:rsidP="00A41F3F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85EF8" w:rsidRPr="00A41F3F" w:rsidRDefault="00285EF8" w:rsidP="00A41F3F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285EF8" w:rsidRPr="00A41F3F" w:rsidRDefault="00285EF8" w:rsidP="00A41F3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Szczegółowe ustalenia kontroli przedstawiono w protokole nr WKN-KSO.5421.4.20.2021 z 11 sierpnia 2021 r., do którego przedsiębiorca nie wniósł zastrzeżeń.</w:t>
      </w:r>
    </w:p>
    <w:p w:rsidR="00285EF8" w:rsidRPr="00A41F3F" w:rsidRDefault="00285EF8" w:rsidP="00A41F3F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285EF8" w:rsidRPr="00A41F3F" w:rsidRDefault="00285EF8" w:rsidP="00A41F3F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Nie stwierdzono nieprawidłowości w zakresie zgodności stacji z</w:t>
      </w:r>
      <w:r w:rsidR="00A41F3F">
        <w:rPr>
          <w:rFonts w:ascii="Verdana" w:hAnsi="Verdana"/>
          <w:sz w:val="22"/>
          <w:szCs w:val="22"/>
        </w:rPr>
        <w:t xml:space="preserve"> </w:t>
      </w:r>
      <w:r w:rsidRPr="00A41F3F">
        <w:rPr>
          <w:rFonts w:ascii="Verdana" w:hAnsi="Verdana"/>
          <w:sz w:val="22"/>
          <w:szCs w:val="22"/>
        </w:rPr>
        <w:t>wymaganiami, o których mowa w art. 83 ust. 3 ustawy.</w:t>
      </w:r>
    </w:p>
    <w:p w:rsidR="00285EF8" w:rsidRPr="00A41F3F" w:rsidRDefault="00285EF8" w:rsidP="00A41F3F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lastRenderedPageBreak/>
        <w:t>Nie stwierdzono nieprawidłowości w zakresie wykonywania badań technicznych pojazdów.</w:t>
      </w:r>
    </w:p>
    <w:p w:rsidR="00285EF8" w:rsidRPr="00A41F3F" w:rsidRDefault="00285EF8" w:rsidP="00A41F3F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285EF8" w:rsidRPr="00A41F3F" w:rsidRDefault="00285EF8" w:rsidP="00A41F3F">
      <w:pPr>
        <w:numPr>
          <w:ilvl w:val="0"/>
          <w:numId w:val="2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 xml:space="preserve">W zaświadczeniach o przeprowadzonych badaniach technicznych, oraz w rejestrze badań technicznych pojazdów </w:t>
      </w:r>
      <w:r w:rsidRPr="00A41F3F">
        <w:rPr>
          <w:rFonts w:ascii="Verdana" w:hAnsi="Verdana"/>
          <w:sz w:val="22"/>
          <w:szCs w:val="22"/>
        </w:rPr>
        <w:t>potwierdzono przeprowadzenie dwóch dodatkowych badań technicznych pojazdów skierowanych przez organ kontroli ruchu drogowego, zakończonych wynikami pozytywnymi, w których:</w:t>
      </w:r>
    </w:p>
    <w:p w:rsidR="00285EF8" w:rsidRPr="00A41F3F" w:rsidRDefault="00285EF8" w:rsidP="00A41F3F">
      <w:pPr>
        <w:numPr>
          <w:ilvl w:val="0"/>
          <w:numId w:val="2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 xml:space="preserve">w obu przypadkach w zaświadczeniach i w rejestrze wpisano nieprawidłowe oznaczenie kraju rejestracji, co stanowi naruszenie pkt C) objaśnień do wzoru zaświadczenia stanowiącego załącznik nr 3 oraz ust. 2 pkt 18 załącznika nr 8 do rozporządzenia </w:t>
      </w:r>
      <w:r w:rsidRPr="00A41F3F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zm.) – zwanego dalej rozporządzeniem MTBiG,</w:t>
      </w:r>
    </w:p>
    <w:p w:rsidR="00285EF8" w:rsidRPr="00A41F3F" w:rsidRDefault="00285EF8" w:rsidP="00A41F3F">
      <w:pPr>
        <w:numPr>
          <w:ilvl w:val="0"/>
          <w:numId w:val="2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 xml:space="preserve">w obu przypadkach </w:t>
      </w:r>
      <w:r w:rsidRPr="00A41F3F">
        <w:rPr>
          <w:rFonts w:ascii="Verdana" w:hAnsi="Verdana"/>
          <w:sz w:val="22"/>
          <w:szCs w:val="22"/>
        </w:rPr>
        <w:t xml:space="preserve">nie posiadano pokwitowań za zatrzymane dowody rejestracyjne i w trakcie badań dokonano identyfikacji pojazdów na podstawie dowodów rejestracyjnych, a nie pokwitowań, co stanowi naruszenie </w:t>
      </w:r>
      <w:r w:rsidRPr="00A41F3F">
        <w:rPr>
          <w:rFonts w:ascii="Verdana" w:hAnsi="Verdana"/>
          <w:color w:val="000000"/>
          <w:sz w:val="22"/>
          <w:szCs w:val="22"/>
        </w:rPr>
        <w:t>§ 2 ust. 1 pkt 1 w związku z § 3 ust. 1 pkt 2 rozporządzenia MTBiG oraz pkt 2 kolumna druga pkt 0.2. działu I załącznika nr 1 do rozporządzenia MTBiG,</w:t>
      </w:r>
    </w:p>
    <w:p w:rsidR="00285EF8" w:rsidRPr="00A41F3F" w:rsidRDefault="00285EF8" w:rsidP="00A41F3F">
      <w:pPr>
        <w:numPr>
          <w:ilvl w:val="0"/>
          <w:numId w:val="2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 xml:space="preserve">w obu przypadkach </w:t>
      </w:r>
      <w:r w:rsidRPr="00A41F3F">
        <w:rPr>
          <w:rFonts w:ascii="Verdana" w:hAnsi="Verdana"/>
          <w:sz w:val="22"/>
          <w:szCs w:val="22"/>
        </w:rPr>
        <w:t>nie wpisano serii i numeru pokwitowania, co stanowi naruszenia ust. 2 pkt 4 załącznika nr 8 do rozporządzenia MTBiG,</w:t>
      </w:r>
    </w:p>
    <w:p w:rsidR="00285EF8" w:rsidRPr="00A41F3F" w:rsidRDefault="00285EF8" w:rsidP="00A41F3F">
      <w:pPr>
        <w:numPr>
          <w:ilvl w:val="0"/>
          <w:numId w:val="2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wykonując badanie dodatkowe pojazdu, diagnosta, w zaświadczeniu oraz w rejestrze nie dokonał wpisu usterki istotnej, tj. braku tablic oraz określił nieprawidłowy wynik badania „pozytywny” zamiast „negatywny”, pomimo wpisu w zaświadczeniu informacji o braku tablic rejestracyjnych, co stanowi naruszenie § 6 ust. 2 rozporządzenia MTBiG oraz pkt J) objaśnień do wzoru zaświadczenia stanowiącego załącznik nr 3 i ust. 2 pkt 9 załącznika nr 8 do rozporządzenia MTBiG.</w:t>
      </w:r>
    </w:p>
    <w:p w:rsidR="00285EF8" w:rsidRPr="00A41F3F" w:rsidRDefault="00285EF8" w:rsidP="00A41F3F">
      <w:pPr>
        <w:numPr>
          <w:ilvl w:val="0"/>
          <w:numId w:val="2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>W rejestrze, w zaświadczeniach oraz w dokumentach identyfikacyjnych pojazdów (zwanych dalej dokumentami DIP) potwierdzono przeprowadzenie dwudziestu sześciu badań technicznych pojazdów przed pierwszą rejestracją na terytorium Rzeczpospolitej Polskiej, w tym:</w:t>
      </w:r>
    </w:p>
    <w:p w:rsidR="00285EF8" w:rsidRPr="00A41F3F" w:rsidRDefault="00285EF8" w:rsidP="00A41F3F">
      <w:pPr>
        <w:numPr>
          <w:ilvl w:val="0"/>
          <w:numId w:val="23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>w siedmiu dokumentach DIP nie wpisano liczby kół, co stanowi naruszenie pkt. 21 załącznika nr 4 do rozporządzenia MTBiG,</w:t>
      </w:r>
    </w:p>
    <w:p w:rsidR="00285EF8" w:rsidRPr="00A41F3F" w:rsidRDefault="00285EF8" w:rsidP="00A41F3F">
      <w:pPr>
        <w:numPr>
          <w:ilvl w:val="0"/>
          <w:numId w:val="23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 xml:space="preserve">w trzynastu dokumentach DIP nie wpisano nośności opon, co stanowi naruszenie pkt 25 załącznika nr 4 do rozporządzenia MTBiG, </w:t>
      </w:r>
    </w:p>
    <w:p w:rsidR="00285EF8" w:rsidRPr="00A41F3F" w:rsidRDefault="00285EF8" w:rsidP="00A41F3F">
      <w:pPr>
        <w:numPr>
          <w:ilvl w:val="0"/>
          <w:numId w:val="23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w sześciu dokumentach DIP w pozycji „Dodatkowe informacje” wpisano informacje nie dotyczące dodatkowego wyposażenia pojazdu, co stanowi naruszenie treści objaśnień do pozycji „Dodatkowe informacje” załącznika nr 4 do rozporządzenia MTBiG.</w:t>
      </w:r>
    </w:p>
    <w:p w:rsidR="00285EF8" w:rsidRPr="00A41F3F" w:rsidRDefault="00285EF8" w:rsidP="00A41F3F">
      <w:pPr>
        <w:numPr>
          <w:ilvl w:val="0"/>
          <w:numId w:val="22"/>
        </w:numPr>
        <w:tabs>
          <w:tab w:val="num" w:pos="0"/>
        </w:tabs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lastRenderedPageBreak/>
        <w:t xml:space="preserve">W dwunastu przypadkach pobrano opłatę w wysokości 1,00 PLN, z tytułu wykonania łącznie dwóch badań technicznych tj. okresowego i dodatkowego tego samego pojazdu, zamiast dwóch opłat ewidencyjnych w łącznej wysokości 2,00 PLN, co stanowi naruszenie art. 83 ust. 1 ustawy w związku z § 2 ust. 1 pkt 2 lit. c) rozporządzenia Ministra Cyfryzacji z dnia 30 grudnia 2019 r. w sprawie opłaty ewidencyjnej stanowiącej przychód Funduszu – Centralna Ewidencja Pojazdów i Kierowców (Dz. U. z 2019 r. poz. 2546) </w:t>
      </w:r>
      <w:r w:rsidRPr="00A41F3F">
        <w:rPr>
          <w:rFonts w:ascii="Verdana" w:hAnsi="Verdana"/>
          <w:sz w:val="22"/>
          <w:szCs w:val="22"/>
        </w:rPr>
        <w:t>– zwanego dalej rozporządzeniem w sprawie opłaty ewidencyjnej</w:t>
      </w:r>
      <w:r w:rsidRPr="00A41F3F">
        <w:rPr>
          <w:rFonts w:ascii="Verdana" w:hAnsi="Verdana"/>
          <w:color w:val="000000"/>
          <w:sz w:val="22"/>
          <w:szCs w:val="22"/>
        </w:rPr>
        <w:t>.</w:t>
      </w:r>
    </w:p>
    <w:p w:rsidR="00285EF8" w:rsidRPr="00A41F3F" w:rsidRDefault="00285EF8" w:rsidP="00A41F3F">
      <w:pPr>
        <w:numPr>
          <w:ilvl w:val="0"/>
          <w:numId w:val="22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 xml:space="preserve">Nie przekazano na rachunek bankowy Funduszu – </w:t>
      </w:r>
      <w:proofErr w:type="spellStart"/>
      <w:r w:rsidRPr="00A41F3F">
        <w:rPr>
          <w:rFonts w:ascii="Verdana" w:hAnsi="Verdana"/>
          <w:sz w:val="22"/>
          <w:szCs w:val="22"/>
        </w:rPr>
        <w:t>Centaralna</w:t>
      </w:r>
      <w:proofErr w:type="spellEnd"/>
      <w:r w:rsidRPr="00A41F3F">
        <w:rPr>
          <w:rFonts w:ascii="Verdana" w:hAnsi="Verdana"/>
          <w:sz w:val="22"/>
          <w:szCs w:val="22"/>
        </w:rPr>
        <w:t xml:space="preserve"> Ewidencja Pojazdów i Kierowców (zwany dalej Funduszem) należnych opłat ewidencyjnych w łącznej wysokości 11,00 PLN za badania dodatkowe wykonane łącznie z badaniami okresowymi, co stanowi naruszenie art. 80d ust. 3a pkt 1 ustawy oraz § 5 rozporządzenia w sprawie opłaty ewidencyjnej.</w:t>
      </w:r>
    </w:p>
    <w:p w:rsidR="00285EF8" w:rsidRPr="00A41F3F" w:rsidRDefault="00285EF8" w:rsidP="00A41F3F">
      <w:pPr>
        <w:numPr>
          <w:ilvl w:val="0"/>
          <w:numId w:val="22"/>
        </w:numPr>
        <w:tabs>
          <w:tab w:val="num" w:pos="0"/>
        </w:tabs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 xml:space="preserve">W dwunastu przypadkach przeprowadzono łącznie dwa badania techniczne, tj. okresowe i dodatkowe tego samego pojazdu, które zaewidencjonowano pod jedną pozycją w rejestrze, co spowodowało, że do  Centralnej Ewidencji Pojazdów przekazane zostały jedynie dane dotyczące okresowych badań technicznych, natomiast brak jest przekazania danych o przeprowadzonych badaniach dodatkowych. </w:t>
      </w:r>
    </w:p>
    <w:p w:rsidR="00285EF8" w:rsidRPr="00A41F3F" w:rsidRDefault="00285EF8" w:rsidP="00A41F3F">
      <w:p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>Zgodnie z dyspozycją art. 80ba ust. 1 pkt 6 ustawy stacje kontroli pojazdów są obowiązane do przekazywania do Centralnej Ewidencji Pojazdów danych określonych w art. 80b ust. 1 pkt 10,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285EF8" w:rsidRPr="00A41F3F" w:rsidRDefault="00285EF8" w:rsidP="00A41F3F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285EF8" w:rsidRPr="00A41F3F" w:rsidRDefault="00285EF8" w:rsidP="00A41F3F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>Ad 1a.</w:t>
      </w:r>
      <w:r w:rsidRPr="00A41F3F">
        <w:rPr>
          <w:rFonts w:ascii="Verdana" w:hAnsi="Verdana"/>
          <w:color w:val="000000"/>
          <w:sz w:val="22"/>
          <w:szCs w:val="22"/>
        </w:rPr>
        <w:tab/>
        <w:t>Wpisywanie w zaświadczeniach i w rejestrze prawidłowego oznaczenia kraju rejestracji,</w:t>
      </w:r>
    </w:p>
    <w:p w:rsidR="00285EF8" w:rsidRPr="00A41F3F" w:rsidRDefault="00285EF8" w:rsidP="00A41F3F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>Ad 1b.</w:t>
      </w:r>
      <w:r w:rsidRPr="00A41F3F">
        <w:rPr>
          <w:rFonts w:ascii="Verdana" w:hAnsi="Verdana"/>
          <w:color w:val="000000"/>
          <w:sz w:val="22"/>
          <w:szCs w:val="22"/>
        </w:rPr>
        <w:tab/>
        <w:t>Wykonywanie identyfikacji pojazdu, w trakcie dodatkowych badań technicznych, o których mowa w § 3 ust. 1 pkt 2 rozporządzenia MTBiG, na podstawie pokwitowań wydanych przez organ kontroli ruchu drogowego,</w:t>
      </w:r>
    </w:p>
    <w:p w:rsidR="00285EF8" w:rsidRPr="00A41F3F" w:rsidRDefault="00285EF8" w:rsidP="00A41F3F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>Ad 1c.</w:t>
      </w:r>
      <w:r w:rsidRPr="00A41F3F">
        <w:rPr>
          <w:rFonts w:ascii="Verdana" w:hAnsi="Verdana"/>
          <w:color w:val="000000"/>
          <w:sz w:val="22"/>
          <w:szCs w:val="22"/>
        </w:rPr>
        <w:tab/>
      </w:r>
      <w:r w:rsidRPr="00A41F3F">
        <w:rPr>
          <w:rFonts w:ascii="Verdana" w:hAnsi="Verdana"/>
          <w:sz w:val="22"/>
          <w:szCs w:val="22"/>
        </w:rPr>
        <w:t>Wpisywanie w rejestrze serii i numeru pokwitowania wydanego za zatrzymany dowód rejestracyjny,</w:t>
      </w:r>
    </w:p>
    <w:p w:rsidR="00285EF8" w:rsidRPr="00A41F3F" w:rsidRDefault="00285EF8" w:rsidP="00A41F3F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Ad 1d.</w:t>
      </w:r>
      <w:r w:rsidRPr="00A41F3F">
        <w:rPr>
          <w:rFonts w:ascii="Verdana" w:hAnsi="Verdana"/>
          <w:sz w:val="22"/>
          <w:szCs w:val="22"/>
        </w:rPr>
        <w:tab/>
        <w:t xml:space="preserve">Wpisywanie w zaświadczeniach i rejestrze usterek oraz określanie wyniku badania odpowiednio do stwierdzonego stanu faktycznego. </w:t>
      </w:r>
    </w:p>
    <w:p w:rsidR="00285EF8" w:rsidRPr="00A41F3F" w:rsidRDefault="00285EF8" w:rsidP="00A41F3F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 xml:space="preserve">Ad 2. </w:t>
      </w:r>
      <w:r w:rsidRPr="00A41F3F">
        <w:rPr>
          <w:rFonts w:ascii="Verdana" w:hAnsi="Verdana"/>
          <w:color w:val="000000"/>
          <w:sz w:val="22"/>
          <w:szCs w:val="22"/>
        </w:rPr>
        <w:tab/>
        <w:t>Wpisywanie w dokumencie DIP wszystkich wymaganych danych identyfikacyjnych badanych pojazdów.</w:t>
      </w:r>
    </w:p>
    <w:p w:rsidR="00285EF8" w:rsidRPr="00A41F3F" w:rsidRDefault="00285EF8" w:rsidP="00A41F3F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>Ad 3.</w:t>
      </w:r>
      <w:r w:rsidRPr="00A41F3F">
        <w:rPr>
          <w:rFonts w:ascii="Verdana" w:hAnsi="Verdana"/>
          <w:color w:val="000000"/>
          <w:sz w:val="22"/>
          <w:szCs w:val="22"/>
        </w:rPr>
        <w:tab/>
        <w:t>Pobieranie opłaty ewidencyjnej do każdego przeprowadzonego badania technicznego.</w:t>
      </w:r>
    </w:p>
    <w:p w:rsidR="00285EF8" w:rsidRPr="00A41F3F" w:rsidRDefault="00285EF8" w:rsidP="00A41F3F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lastRenderedPageBreak/>
        <w:t>Ad 4.</w:t>
      </w:r>
      <w:r w:rsidRPr="00A41F3F">
        <w:rPr>
          <w:rFonts w:ascii="Verdana" w:hAnsi="Verdana"/>
          <w:color w:val="000000"/>
          <w:sz w:val="22"/>
          <w:szCs w:val="22"/>
        </w:rPr>
        <w:tab/>
        <w:t>Przekazywanie</w:t>
      </w:r>
      <w:r w:rsidRPr="00A41F3F">
        <w:rPr>
          <w:rFonts w:ascii="Verdana" w:hAnsi="Verdana"/>
          <w:sz w:val="22"/>
          <w:szCs w:val="22"/>
        </w:rPr>
        <w:t xml:space="preserve"> należnych kwot opłat ewidencyjnych, tj. odpowiadających ilościom wszystkich przeprowadzonych badań,</w:t>
      </w:r>
      <w:r w:rsidR="00A41F3F">
        <w:rPr>
          <w:rFonts w:ascii="Verdana" w:hAnsi="Verdana"/>
          <w:sz w:val="22"/>
          <w:szCs w:val="22"/>
        </w:rPr>
        <w:t xml:space="preserve"> </w:t>
      </w:r>
      <w:r w:rsidRPr="00A41F3F">
        <w:rPr>
          <w:rFonts w:ascii="Verdana" w:hAnsi="Verdana"/>
          <w:sz w:val="22"/>
          <w:szCs w:val="22"/>
        </w:rPr>
        <w:t>zaewidencjonowanych w rejestrze.</w:t>
      </w:r>
      <w:r w:rsidRPr="00A41F3F">
        <w:rPr>
          <w:rFonts w:ascii="Verdana" w:hAnsi="Verdana"/>
          <w:color w:val="000000"/>
          <w:sz w:val="22"/>
          <w:szCs w:val="22"/>
        </w:rPr>
        <w:t xml:space="preserve"> </w:t>
      </w:r>
    </w:p>
    <w:p w:rsidR="00285EF8" w:rsidRPr="00A41F3F" w:rsidRDefault="00285EF8" w:rsidP="00A41F3F">
      <w:pPr>
        <w:suppressAutoHyphens/>
        <w:spacing w:line="276" w:lineRule="auto"/>
        <w:ind w:left="851" w:right="-79" w:hanging="851"/>
        <w:rPr>
          <w:rFonts w:ascii="Verdana" w:hAnsi="Verdana"/>
          <w:sz w:val="22"/>
          <w:szCs w:val="22"/>
        </w:rPr>
      </w:pPr>
      <w:r w:rsidRPr="00A41F3F">
        <w:rPr>
          <w:rFonts w:ascii="Verdana" w:hAnsi="Verdana"/>
          <w:sz w:val="22"/>
          <w:szCs w:val="22"/>
        </w:rPr>
        <w:t>Ad 5.</w:t>
      </w:r>
      <w:r w:rsidRPr="00A41F3F">
        <w:rPr>
          <w:rFonts w:ascii="Verdana" w:hAnsi="Verdana"/>
          <w:sz w:val="22"/>
          <w:szCs w:val="22"/>
        </w:rPr>
        <w:tab/>
        <w:t xml:space="preserve">Ewidencjonowanie w rejestrze przeprowadzonych badań technicznych pojazdów, w sposób zapewniający uwidocznienie w Centralnej Ewidencji Pojazdów danych o wszystkich rodzajach przeprowadzonych badań technicznych pojazdów. </w:t>
      </w:r>
    </w:p>
    <w:p w:rsidR="00285EF8" w:rsidRPr="00A41F3F" w:rsidRDefault="00285EF8" w:rsidP="00A41F3F">
      <w:pPr>
        <w:suppressAutoHyphens/>
        <w:spacing w:before="120" w:after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>Zaleca się poinformować zatrudnionych diagnostów o stwierdzonych nieprawidłowościach i sformułowanych zaleceniach.</w:t>
      </w:r>
    </w:p>
    <w:p w:rsidR="00285EF8" w:rsidRPr="00A41F3F" w:rsidRDefault="00285EF8" w:rsidP="00A41F3F">
      <w:pPr>
        <w:suppressAutoHyphens/>
        <w:spacing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A41F3F">
        <w:rPr>
          <w:rFonts w:ascii="Verdana" w:hAnsi="Verdana"/>
          <w:color w:val="000000"/>
          <w:sz w:val="22"/>
          <w:szCs w:val="22"/>
        </w:rPr>
        <w:t>W związku z wydanymi zaleceniami, proszę o pisemną informację o podjętych środkach zmierzających do poprawy działalno</w:t>
      </w:r>
      <w:r w:rsidR="00A41F3F">
        <w:rPr>
          <w:rFonts w:ascii="Verdana" w:hAnsi="Verdana"/>
          <w:color w:val="000000"/>
          <w:sz w:val="22"/>
          <w:szCs w:val="22"/>
        </w:rPr>
        <w:t xml:space="preserve">ści Stacji Kontroli Pojazdów, w </w:t>
      </w:r>
      <w:r w:rsidRPr="00A41F3F">
        <w:rPr>
          <w:rFonts w:ascii="Verdana" w:hAnsi="Verdana"/>
          <w:color w:val="000000"/>
          <w:sz w:val="22"/>
          <w:szCs w:val="22"/>
        </w:rPr>
        <w:t>terminie 14 dni od daty otrzymania niniejszych zaleceń.</w:t>
      </w:r>
    </w:p>
    <w:p w:rsidR="00A41F3F" w:rsidRPr="007069CA" w:rsidRDefault="00A41F3F" w:rsidP="00A41F3F">
      <w:pPr>
        <w:pStyle w:val="Nagwektabeli"/>
        <w:suppressLineNumbers w:val="0"/>
        <w:spacing w:before="360"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Dokument podpisała z upoważnienia Prezydenta</w:t>
      </w:r>
    </w:p>
    <w:p w:rsidR="00A41F3F" w:rsidRPr="007069CA" w:rsidRDefault="00A41F3F" w:rsidP="00A41F3F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Marta Kalicińska</w:t>
      </w:r>
    </w:p>
    <w:p w:rsidR="00A41F3F" w:rsidRPr="007069CA" w:rsidRDefault="00A41F3F" w:rsidP="00A41F3F">
      <w:pPr>
        <w:pStyle w:val="Nagwektabeli"/>
        <w:suppressLineNumbers w:val="0"/>
        <w:spacing w:after="36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Dyrektor Wydziału Kontroli</w:t>
      </w:r>
    </w:p>
    <w:p w:rsidR="00A41F3F" w:rsidRPr="007069CA" w:rsidRDefault="00A41F3F" w:rsidP="00A41F3F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069CA">
        <w:rPr>
          <w:rFonts w:ascii="Verdana" w:hAnsi="Verdana"/>
          <w:bCs/>
          <w:sz w:val="22"/>
          <w:szCs w:val="22"/>
        </w:rPr>
        <w:t>Do wiadomości:</w:t>
      </w:r>
    </w:p>
    <w:p w:rsidR="003F0360" w:rsidRPr="00A41F3F" w:rsidRDefault="00A41F3F" w:rsidP="00A41F3F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069CA">
        <w:rPr>
          <w:bCs/>
          <w:sz w:val="22"/>
          <w:szCs w:val="22"/>
        </w:rPr>
        <w:t xml:space="preserve">Pani Bożena Bronowicka – Dyrektor WSO UMW wraz z protokołem kontroli </w:t>
      </w:r>
      <w:r w:rsidR="003F0360" w:rsidRPr="00A41F3F">
        <w:rPr>
          <w:bCs/>
          <w:sz w:val="22"/>
          <w:szCs w:val="22"/>
        </w:rPr>
        <w:t>WKN-KSO.5421.4.</w:t>
      </w:r>
      <w:r w:rsidRPr="00A41F3F">
        <w:rPr>
          <w:bCs/>
          <w:sz w:val="22"/>
          <w:szCs w:val="22"/>
        </w:rPr>
        <w:t>20</w:t>
      </w:r>
      <w:r w:rsidR="003F0360" w:rsidRPr="00A41F3F">
        <w:rPr>
          <w:bCs/>
          <w:sz w:val="22"/>
          <w:szCs w:val="22"/>
        </w:rPr>
        <w:t>.2021 w</w:t>
      </w:r>
      <w:r w:rsidR="007069CA" w:rsidRPr="00A41F3F">
        <w:rPr>
          <w:bCs/>
          <w:sz w:val="22"/>
          <w:szCs w:val="22"/>
        </w:rPr>
        <w:t xml:space="preserve"> </w:t>
      </w:r>
      <w:r w:rsidR="003F0360" w:rsidRPr="00A41F3F">
        <w:rPr>
          <w:bCs/>
          <w:sz w:val="22"/>
          <w:szCs w:val="22"/>
        </w:rPr>
        <w:t>wersji elektronicznej.</w:t>
      </w:r>
    </w:p>
    <w:sectPr w:rsidR="003F0360" w:rsidRPr="00A41F3F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8A8" w:rsidRDefault="00F108A8" w:rsidP="00260C77">
      <w:r>
        <w:separator/>
      </w:r>
    </w:p>
  </w:endnote>
  <w:endnote w:type="continuationSeparator" w:id="0">
    <w:p w:rsidR="00F108A8" w:rsidRDefault="00F108A8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2022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2022A">
      <w:rPr>
        <w:sz w:val="14"/>
        <w:szCs w:val="14"/>
      </w:rPr>
      <w:fldChar w:fldCharType="separate"/>
    </w:r>
    <w:r w:rsidR="00A41F3F">
      <w:rPr>
        <w:noProof/>
        <w:sz w:val="14"/>
        <w:szCs w:val="14"/>
      </w:rPr>
      <w:t>2</w:t>
    </w:r>
    <w:r w:rsidR="0062022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2022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2022A">
      <w:rPr>
        <w:sz w:val="14"/>
        <w:szCs w:val="14"/>
      </w:rPr>
      <w:fldChar w:fldCharType="separate"/>
    </w:r>
    <w:r w:rsidR="00A41F3F">
      <w:rPr>
        <w:noProof/>
        <w:sz w:val="14"/>
        <w:szCs w:val="14"/>
      </w:rPr>
      <w:t>4</w:t>
    </w:r>
    <w:r w:rsidR="0062022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285EF8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59.2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8A8" w:rsidRDefault="00F108A8" w:rsidP="00260C77">
      <w:r>
        <w:separator/>
      </w:r>
    </w:p>
  </w:footnote>
  <w:footnote w:type="continuationSeparator" w:id="0">
    <w:p w:rsidR="00F108A8" w:rsidRDefault="00F108A8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6202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62022A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4406"/>
        </w:tabs>
        <w:ind w:left="4406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363F7C"/>
    <w:multiLevelType w:val="hybridMultilevel"/>
    <w:tmpl w:val="FE7438B0"/>
    <w:lvl w:ilvl="0" w:tplc="1694773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2D31328"/>
    <w:multiLevelType w:val="hybridMultilevel"/>
    <w:tmpl w:val="4E8E3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027D9"/>
    <w:multiLevelType w:val="hybridMultilevel"/>
    <w:tmpl w:val="D5DC0928"/>
    <w:lvl w:ilvl="0" w:tplc="6226C01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7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9"/>
  </w:num>
  <w:num w:numId="14">
    <w:abstractNumId w:val="10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"/>
  </w:num>
  <w:num w:numId="22">
    <w:abstractNumId w:val="20"/>
  </w:num>
  <w:num w:numId="23">
    <w:abstractNumId w:val="1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10895"/>
    <w:rsid w:val="00043650"/>
    <w:rsid w:val="000638D1"/>
    <w:rsid w:val="00082780"/>
    <w:rsid w:val="000867A3"/>
    <w:rsid w:val="000D2495"/>
    <w:rsid w:val="00110D2F"/>
    <w:rsid w:val="001400A9"/>
    <w:rsid w:val="001450E5"/>
    <w:rsid w:val="0017025B"/>
    <w:rsid w:val="00186FD3"/>
    <w:rsid w:val="00196D89"/>
    <w:rsid w:val="00217FE2"/>
    <w:rsid w:val="00260C77"/>
    <w:rsid w:val="00282F88"/>
    <w:rsid w:val="00285EF8"/>
    <w:rsid w:val="002A5477"/>
    <w:rsid w:val="002F086C"/>
    <w:rsid w:val="00305EA8"/>
    <w:rsid w:val="00361B03"/>
    <w:rsid w:val="003669DC"/>
    <w:rsid w:val="00386C59"/>
    <w:rsid w:val="003A7611"/>
    <w:rsid w:val="003B04E3"/>
    <w:rsid w:val="003C0CD3"/>
    <w:rsid w:val="003F0360"/>
    <w:rsid w:val="004130FA"/>
    <w:rsid w:val="00424A99"/>
    <w:rsid w:val="0042788B"/>
    <w:rsid w:val="004315B9"/>
    <w:rsid w:val="0044633A"/>
    <w:rsid w:val="0045005C"/>
    <w:rsid w:val="004F378C"/>
    <w:rsid w:val="00500EC3"/>
    <w:rsid w:val="005324A8"/>
    <w:rsid w:val="00550171"/>
    <w:rsid w:val="00564532"/>
    <w:rsid w:val="00566C54"/>
    <w:rsid w:val="00584512"/>
    <w:rsid w:val="0058688C"/>
    <w:rsid w:val="005E2A2F"/>
    <w:rsid w:val="0062022A"/>
    <w:rsid w:val="00641684"/>
    <w:rsid w:val="006537D3"/>
    <w:rsid w:val="0065414D"/>
    <w:rsid w:val="006731D3"/>
    <w:rsid w:val="00690BA0"/>
    <w:rsid w:val="007069CA"/>
    <w:rsid w:val="00760383"/>
    <w:rsid w:val="00792D6A"/>
    <w:rsid w:val="007A2AE3"/>
    <w:rsid w:val="00847D1A"/>
    <w:rsid w:val="008F62A6"/>
    <w:rsid w:val="00954567"/>
    <w:rsid w:val="00954F3A"/>
    <w:rsid w:val="009A0033"/>
    <w:rsid w:val="009F65B7"/>
    <w:rsid w:val="009F7E68"/>
    <w:rsid w:val="00A32219"/>
    <w:rsid w:val="00A3358E"/>
    <w:rsid w:val="00A41F3F"/>
    <w:rsid w:val="00A42B3F"/>
    <w:rsid w:val="00A5041F"/>
    <w:rsid w:val="00AE320B"/>
    <w:rsid w:val="00AE6C94"/>
    <w:rsid w:val="00C55990"/>
    <w:rsid w:val="00C633CD"/>
    <w:rsid w:val="00C71029"/>
    <w:rsid w:val="00CD79F1"/>
    <w:rsid w:val="00CF0604"/>
    <w:rsid w:val="00CF4D47"/>
    <w:rsid w:val="00D02003"/>
    <w:rsid w:val="00D31341"/>
    <w:rsid w:val="00D441D6"/>
    <w:rsid w:val="00D60071"/>
    <w:rsid w:val="00D67698"/>
    <w:rsid w:val="00D941E6"/>
    <w:rsid w:val="00DC59E4"/>
    <w:rsid w:val="00E14557"/>
    <w:rsid w:val="00E41E9C"/>
    <w:rsid w:val="00E4408D"/>
    <w:rsid w:val="00E537FB"/>
    <w:rsid w:val="00E557EE"/>
    <w:rsid w:val="00E72EC4"/>
    <w:rsid w:val="00E738AB"/>
    <w:rsid w:val="00F108A8"/>
    <w:rsid w:val="00F27B27"/>
    <w:rsid w:val="00F95F0F"/>
    <w:rsid w:val="00FB3669"/>
    <w:rsid w:val="00F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8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6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7Datapisma">
    <w:name w:val="@07.Data_pisma"/>
    <w:basedOn w:val="Normalny"/>
    <w:next w:val="08Sygnaturapisma"/>
    <w:rsid w:val="003F0360"/>
    <w:pPr>
      <w:spacing w:before="360"/>
      <w:jc w:val="right"/>
    </w:pPr>
    <w:rPr>
      <w:rFonts w:ascii="Verdana" w:hAnsi="Verdana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7D2BB-1241-465C-AB65-CB8203B4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umkatu01</cp:lastModifiedBy>
  <cp:revision>3</cp:revision>
  <cp:lastPrinted>2021-08-16T12:40:00Z</cp:lastPrinted>
  <dcterms:created xsi:type="dcterms:W3CDTF">2022-03-24T08:43:00Z</dcterms:created>
  <dcterms:modified xsi:type="dcterms:W3CDTF">2022-03-24T08:51:00Z</dcterms:modified>
</cp:coreProperties>
</file>