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9D10EE">
        <w:rPr>
          <w:rFonts w:ascii="Verdana" w:hAnsi="Verdana" w:cs="TimesNewRomanPS-BoldMT"/>
          <w:bCs/>
          <w:sz w:val="24"/>
          <w:szCs w:val="24"/>
        </w:rPr>
        <w:t>UCHWAŁA N</w:t>
      </w:r>
      <w:r w:rsidR="009D10EE">
        <w:rPr>
          <w:rFonts w:ascii="Verdana" w:hAnsi="Verdana" w:cs="TimesNewRomanPS-BoldMT"/>
          <w:bCs/>
          <w:sz w:val="24"/>
          <w:szCs w:val="24"/>
        </w:rPr>
        <w:t>UME</w:t>
      </w:r>
      <w:r w:rsidRPr="009D10EE">
        <w:rPr>
          <w:rFonts w:ascii="Verdana" w:hAnsi="Verdana" w:cs="TimesNewRomanPS-BoldMT"/>
          <w:bCs/>
          <w:sz w:val="24"/>
          <w:szCs w:val="24"/>
        </w:rPr>
        <w:t>R LI/1376/22 RADY MIEJSKIEJ WROCŁAWIA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9D10EE">
        <w:rPr>
          <w:rFonts w:ascii="Verdana" w:hAnsi="Verdana" w:cs="TimesNewRomanPS-BoldMT"/>
          <w:bCs/>
          <w:sz w:val="24"/>
          <w:szCs w:val="24"/>
        </w:rPr>
        <w:t>z dnia 24 marca 2022 roku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9D10EE">
        <w:rPr>
          <w:rFonts w:ascii="Verdana" w:hAnsi="Verdana" w:cs="TimesNewRomanPS-BoldMT"/>
          <w:bCs/>
          <w:sz w:val="24"/>
          <w:szCs w:val="24"/>
        </w:rPr>
        <w:t>w sprawie rozpatrzenia petycji dotyczącej nadania nazwy obiektowi miejskiemu we Wrocławiu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2022 roku pozycja 559 i 583) oraz artykułu 9 ustęp 2 i artykułu 13 ustęp 1 ustawy z dnia 11 lipca 2014 roku o petycjach (Dziennik Ustaw z 2018 roku pozycja 870) Rada Miejska Wrocławia uchwala, co następuje: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9D10EE">
        <w:rPr>
          <w:rFonts w:ascii="Verdana" w:hAnsi="Verdana" w:cs="TimesNewRomanPSMT"/>
          <w:sz w:val="24"/>
          <w:szCs w:val="24"/>
        </w:rPr>
        <w:t>1. Uwzględnia się petycję (...)</w:t>
      </w:r>
      <w:r w:rsidR="009D10EE">
        <w:rPr>
          <w:rFonts w:ascii="Verdana" w:hAnsi="Verdana" w:cs="TimesNewRomanPSMT"/>
          <w:sz w:val="24"/>
          <w:szCs w:val="24"/>
        </w:rPr>
        <w:t xml:space="preserve"> </w:t>
      </w:r>
      <w:r w:rsidRPr="009D10EE">
        <w:rPr>
          <w:rFonts w:ascii="Verdana" w:hAnsi="Verdana" w:cs="TimesNewRomanPSMT"/>
          <w:sz w:val="24"/>
          <w:szCs w:val="24"/>
        </w:rPr>
        <w:t>z dnia 4 marca 2022 roku w sprawie nadania obiektowi miejskiemu na terenie Miasta Wrocławia nazwy „Wolnej Ukrainy”.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MT"/>
          <w:sz w:val="24"/>
          <w:szCs w:val="24"/>
        </w:rPr>
        <w:t>3. Wykonanie uchwały powierza się Prezydentowi Wrocławia.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-BoldMT"/>
          <w:bCs/>
          <w:sz w:val="24"/>
          <w:szCs w:val="24"/>
        </w:rPr>
        <w:t xml:space="preserve">§ 2. </w:t>
      </w:r>
      <w:r w:rsidRPr="009D10EE">
        <w:rPr>
          <w:rFonts w:ascii="Verdana" w:hAnsi="Verdana" w:cs="TimesNewRomanPSMT"/>
          <w:sz w:val="24"/>
          <w:szCs w:val="24"/>
        </w:rPr>
        <w:t>Upoważnia się Przewodniczącego Rady Miejskiej Wrocławia do zawiadomienia Wnoszących petycję o sposobie rozpatrzenia petycji przez Radę.</w:t>
      </w:r>
    </w:p>
    <w:p w:rsidR="00292330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9D10EE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9D10EE" w:rsidRDefault="009D10EE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9D10EE" w:rsidRDefault="009D10EE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Dokument podpisał</w:t>
      </w:r>
    </w:p>
    <w:p w:rsidR="009D10EE" w:rsidRPr="009D10EE" w:rsidRDefault="009D10EE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Sergiusz Kmiecik</w:t>
      </w:r>
    </w:p>
    <w:p w:rsidR="00292330" w:rsidRPr="009D10EE" w:rsidRDefault="00292330" w:rsidP="009D10EE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9D10EE">
        <w:rPr>
          <w:rFonts w:ascii="Verdana" w:hAnsi="Verdana" w:cs="TimesNewRomanPSMT"/>
          <w:sz w:val="24"/>
          <w:szCs w:val="24"/>
        </w:rPr>
        <w:t>Przewodn</w:t>
      </w:r>
      <w:r w:rsidR="009D10EE">
        <w:rPr>
          <w:rFonts w:ascii="Verdana" w:hAnsi="Verdana" w:cs="TimesNewRomanPSMT"/>
          <w:sz w:val="24"/>
          <w:szCs w:val="24"/>
        </w:rPr>
        <w:t>iczący Rady Miejskiej Wrocławia</w:t>
      </w: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9D10EE">
        <w:rPr>
          <w:rFonts w:ascii="Verdana" w:hAnsi="Verdana" w:cs="TimesNewRomanPSMT"/>
          <w:sz w:val="24"/>
          <w:szCs w:val="24"/>
        </w:rPr>
        <w:lastRenderedPageBreak/>
        <w:t xml:space="preserve">Załącznik do uchwały numer LI/1376/22 Rady Miejskiej Wrocławia z dnia 24 marca 2022 roku </w:t>
      </w:r>
    </w:p>
    <w:p w:rsidR="00292330" w:rsidRPr="009D10EE" w:rsidRDefault="00292330" w:rsidP="009D10EE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2A003D" w:rsidRPr="009D10EE" w:rsidRDefault="00292330" w:rsidP="009D10EE">
      <w:pPr>
        <w:spacing w:line="271" w:lineRule="auto"/>
        <w:jc w:val="left"/>
        <w:rPr>
          <w:rFonts w:ascii="Verdana" w:hAnsi="Verdana"/>
          <w:sz w:val="24"/>
          <w:szCs w:val="24"/>
        </w:rPr>
      </w:pPr>
      <w:r w:rsidRPr="009D10EE">
        <w:rPr>
          <w:rFonts w:ascii="Verdana" w:hAnsi="Verdana" w:cs="TimesNewRomanPSMT"/>
          <w:sz w:val="24"/>
          <w:szCs w:val="24"/>
        </w:rPr>
        <w:t>Petycją z dnia 4 marca 2022 roku (...)</w:t>
      </w:r>
      <w:r w:rsidR="009D10EE">
        <w:rPr>
          <w:rFonts w:ascii="Verdana" w:hAnsi="Verdana" w:cs="TimesNewRomanPSMT"/>
          <w:sz w:val="24"/>
          <w:szCs w:val="24"/>
        </w:rPr>
        <w:t xml:space="preserve"> </w:t>
      </w:r>
      <w:r w:rsidRPr="009D10EE">
        <w:rPr>
          <w:rFonts w:ascii="Verdana" w:hAnsi="Verdana" w:cs="TimesNewRomanPSMT"/>
          <w:sz w:val="24"/>
          <w:szCs w:val="24"/>
        </w:rPr>
        <w:t>(dalej: Wnioskodawcy), wystąpili z wnioskiem o nadanie obiektowi miejskiemu na terenie Miasta Wrocławia nazwy „Wolnej Ukrainy”. Uzasadniając petycję Wnioskodawcy przedstawili argumentację przemawiającą za zasadnością petycji. Zdaniem Wnioskodawców bestialska i bezprawna agresja Rosji na niepodległość Ukrainy wymaga stanowczych i zdecydowanych działań, a bezimienni bohaterowie i ofiary rosyjskiej agresji są niewątpliwym symbolem odwagi i determinacji narodu Ukraińskiego. Pod względem formalno-prawnym petycja spełnia wymagania stawiane przez ustawę z dnia 11 lipca 2014 roku o petycjach (Dziennik Ustaw z 2018 roku pozycja 870), w szczególności jej artykuł 2 i artykuł 4. Na mocy artykułu 18 ustęp 2 punkt 13 ustawy z dnia 8 marca 1990 roku o samorządzie gminnym (Dziennik Ustaw z 2022 roku pozycja 559 i 583) do wyłącznej właściwości rady gminy należy podejmowanie uchwał w sprawach herbu gminy, nazw ulic i placów będących drogami publicznymi lub nazw dróg wewnętrznych w rozumieniu ustawy z dnia 21 marca 1985 roku o drogach publicznych (Dziennik Ustaw z 2021 roku pozycja 1376 i 1595 oraz z 2022 roku pozycja 32 i 655), a także wznoszenia pomników. Stanowisko w imieniu Prezydenta przedstawił Dyrektor Departamentu Strategii i Rozwoju Miasta Urzędu Miejskiego Wrocławia pismem z dnia 11 marca 2022 roku. Opinia Prezydenta Wrocławia w przedmiotowej sprawie jest pozytywna. Prezydent Wrocławia, jako uprawniony do występowania z wnioskiem o nadanie nazw ulicom, placom i innym obiektom miejskim podejmie inicjatywę nadania nazwy „Wolnej Ukrainy” w odniesieniu do ronda łączącego ulice Buforową i Terenową. W pierwszej kolejności dopełnione zostaną wszelkie procedury formalno-prawne. Następnie przygotowany zostanie projekt uchwały Rady Miejskiej Wrocławia w sprawie nadania nazwy ulicy na terenie Wrocławia. Przedmiotowy projekt uchwały będzie konsultowany z organizacjami pozarządowymi, a później zgodnie z wymaganym trybem zostanie przekazany do Przewodniczącego Rady Miejskiej z wnioskiem o objęcie porządkiem obrad sesji Rady Miejskiej Wrocławia. Przewidywany termin skierowania projektu pod obrady Rady Miejskiej Wrocławia to początek drugiego kwartału 2022 roku. Mając na uwadze powyższe Rada Miejska zgodziła się z pozytywnym stanowiskiem Prezydenta i uznała, że petycja zasługuje na uwzględnienie i postanawia jak w § 1 niniejszej uchwały.</w:t>
      </w:r>
    </w:p>
    <w:sectPr w:rsidR="002A003D" w:rsidRPr="009D10EE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92330"/>
    <w:rsid w:val="001377A6"/>
    <w:rsid w:val="00292330"/>
    <w:rsid w:val="002A003D"/>
    <w:rsid w:val="0098791D"/>
    <w:rsid w:val="009D10EE"/>
    <w:rsid w:val="00A163B5"/>
    <w:rsid w:val="00C8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2022-03-30T08:36:00Z</dcterms:created>
  <dcterms:modified xsi:type="dcterms:W3CDTF">2022-03-30T08:39:00Z</dcterms:modified>
</cp:coreProperties>
</file>