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93" w:rsidRDefault="00D24193">
      <w:pPr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Zgodnie z art. 11f ust. 3-5 oraz ust. 7 ustawy z dnia 10 kwietnia 2003 r. – o szczególnych zasadach przygotowania i realizacji inwestycji w zakresie dróg publicznych (jednolity tekst: Dz. U. </w:t>
      </w:r>
      <w:r>
        <w:rPr>
          <w:sz w:val="16"/>
          <w:szCs w:val="16"/>
          <w:lang w:val="pl-PL"/>
        </w:rPr>
        <w:br/>
        <w:t>z 2022 r., poz. 176) oraz na podstawie art. 49 § 1 ustawy z dnia 14 czerwca 1960 r. - Kodeks postępowania administracyjnego (jednolity tekst: Dz. U. z 2021 r., poz. 735, ze zmianami)</w:t>
      </w:r>
    </w:p>
    <w:p w:rsidR="00D24193" w:rsidRDefault="00D24193">
      <w:pPr>
        <w:rPr>
          <w:sz w:val="16"/>
          <w:szCs w:val="16"/>
          <w:lang w:val="pl-PL"/>
        </w:rPr>
      </w:pPr>
    </w:p>
    <w:p w:rsidR="00D24193" w:rsidRDefault="00D24193">
      <w:pPr>
        <w:jc w:val="center"/>
        <w:rPr>
          <w:b/>
          <w:bCs/>
          <w:sz w:val="16"/>
          <w:szCs w:val="16"/>
          <w:lang w:val="pl-PL"/>
        </w:rPr>
      </w:pPr>
    </w:p>
    <w:p w:rsidR="00D24193" w:rsidRDefault="00D24193">
      <w:pPr>
        <w:jc w:val="center"/>
        <w:rPr>
          <w:b/>
          <w:bCs/>
          <w:sz w:val="16"/>
          <w:szCs w:val="16"/>
          <w:lang w:val="pl-PL"/>
        </w:rPr>
      </w:pPr>
      <w:r>
        <w:rPr>
          <w:b/>
          <w:bCs/>
          <w:sz w:val="16"/>
          <w:szCs w:val="16"/>
          <w:lang w:val="pl-PL"/>
        </w:rPr>
        <w:t>zawiadamiam  strony  postępowania,</w:t>
      </w:r>
    </w:p>
    <w:p w:rsidR="00D24193" w:rsidRDefault="00D24193">
      <w:pPr>
        <w:pStyle w:val="BodyText2"/>
        <w:jc w:val="both"/>
        <w:rPr>
          <w:color w:val="auto"/>
        </w:rPr>
      </w:pPr>
    </w:p>
    <w:p w:rsidR="00D24193" w:rsidRDefault="00D24193">
      <w:pPr>
        <w:pStyle w:val="BodyText2"/>
        <w:jc w:val="both"/>
        <w:rPr>
          <w:color w:val="auto"/>
        </w:rPr>
      </w:pPr>
      <w:r>
        <w:rPr>
          <w:color w:val="auto"/>
        </w:rPr>
        <w:t xml:space="preserve">że w dniu </w:t>
      </w:r>
      <w:r>
        <w:rPr>
          <w:b/>
          <w:bCs/>
          <w:color w:val="auto"/>
        </w:rPr>
        <w:t>15.03.2022 r.</w:t>
      </w:r>
      <w:r>
        <w:rPr>
          <w:color w:val="auto"/>
        </w:rPr>
        <w:t xml:space="preserve"> została wydana </w:t>
      </w:r>
      <w:r>
        <w:rPr>
          <w:b/>
          <w:bCs/>
          <w:color w:val="auto"/>
        </w:rPr>
        <w:t>decyzja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 xml:space="preserve">nr 648/2022 zmieniająca decyzję </w:t>
      </w:r>
      <w:r>
        <w:rPr>
          <w:color w:val="auto"/>
        </w:rPr>
        <w:t xml:space="preserve">Prezydenta Wrocławia o zezwoleniu na realizację inwestycji drogowej </w:t>
      </w:r>
      <w:r>
        <w:rPr>
          <w:b/>
          <w:bCs/>
          <w:color w:val="auto"/>
        </w:rPr>
        <w:t xml:space="preserve">Nr 3840/2019 </w:t>
      </w:r>
      <w:r>
        <w:rPr>
          <w:b/>
          <w:bCs/>
          <w:color w:val="auto"/>
        </w:rPr>
        <w:br/>
      </w:r>
      <w:r>
        <w:rPr>
          <w:color w:val="auto"/>
        </w:rPr>
        <w:t>z dnia</w:t>
      </w:r>
      <w:r>
        <w:rPr>
          <w:b/>
          <w:bCs/>
          <w:color w:val="auto"/>
        </w:rPr>
        <w:t xml:space="preserve"> 21.08.2019 r.</w:t>
      </w:r>
      <w:r>
        <w:rPr>
          <w:color w:val="auto"/>
        </w:rPr>
        <w:t xml:space="preserve"> o zezwoleniu na realizację inwestycji drogowej dla zadania pn.: „Budowa wydzielonej trasy autobusowo-tramwajowej łączącej osiedle Nowy Dwór z Centrum Wrocławia” </w:t>
      </w:r>
      <w:r>
        <w:rPr>
          <w:color w:val="auto"/>
        </w:rPr>
        <w:br/>
        <w:t xml:space="preserve">(w skrócie TAT), planowanego od pl. Orląt Lwowskich, wzdłuż ulic Robotniczej, Strzegomskiej do </w:t>
      </w:r>
      <w:r>
        <w:rPr>
          <w:color w:val="auto"/>
        </w:rPr>
        <w:br/>
        <w:t xml:space="preserve">ul. Rogowskiej we Wrocławiu, </w:t>
      </w:r>
    </w:p>
    <w:p w:rsidR="00D24193" w:rsidRDefault="00D24193">
      <w:pPr>
        <w:rPr>
          <w:b/>
          <w:bCs/>
          <w:sz w:val="16"/>
          <w:szCs w:val="16"/>
          <w:lang w:val="pl-PL"/>
        </w:rPr>
      </w:pPr>
    </w:p>
    <w:p w:rsidR="00D24193" w:rsidRDefault="00D24193">
      <w:pPr>
        <w:rPr>
          <w:b/>
          <w:bCs/>
          <w:sz w:val="16"/>
          <w:szCs w:val="16"/>
          <w:lang w:val="pl-PL"/>
        </w:rPr>
      </w:pPr>
      <w:r>
        <w:rPr>
          <w:b/>
          <w:bCs/>
          <w:sz w:val="16"/>
          <w:szCs w:val="16"/>
          <w:lang w:val="pl-PL"/>
        </w:rPr>
        <w:t xml:space="preserve">w zakresie: </w:t>
      </w:r>
    </w:p>
    <w:p w:rsidR="00D24193" w:rsidRDefault="00D24193">
      <w:pPr>
        <w:rPr>
          <w:b/>
          <w:bCs/>
          <w:sz w:val="16"/>
          <w:szCs w:val="16"/>
          <w:lang w:val="pl-PL"/>
        </w:rPr>
      </w:pPr>
    </w:p>
    <w:p w:rsidR="00D24193" w:rsidRDefault="00D24193">
      <w:pPr>
        <w:pStyle w:val="BodyText2"/>
        <w:numPr>
          <w:ilvl w:val="0"/>
          <w:numId w:val="38"/>
        </w:numPr>
        <w:ind w:left="397" w:hanging="397"/>
        <w:jc w:val="both"/>
        <w:rPr>
          <w:color w:val="auto"/>
        </w:rPr>
      </w:pPr>
      <w:r>
        <w:rPr>
          <w:b/>
          <w:bCs/>
          <w:color w:val="auto"/>
        </w:rPr>
        <w:t>zatwierdzenia projektu budowlanego</w:t>
      </w:r>
      <w:r>
        <w:rPr>
          <w:color w:val="auto"/>
        </w:rPr>
        <w:t xml:space="preserve"> zawierającego zmiany i zezwolenia na realizację robót budowlanych objętych projektem budowlanym zmian, dotyczących:</w:t>
      </w:r>
    </w:p>
    <w:p w:rsidR="00D24193" w:rsidRDefault="00D24193">
      <w:pPr>
        <w:pStyle w:val="ListParagraph"/>
        <w:numPr>
          <w:ilvl w:val="0"/>
          <w:numId w:val="37"/>
        </w:numPr>
        <w:spacing w:after="0" w:line="240" w:lineRule="auto"/>
        <w:ind w:left="714" w:hanging="357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robót drogowych </w:t>
      </w:r>
    </w:p>
    <w:p w:rsidR="00D24193" w:rsidRDefault="00D24193">
      <w:pPr>
        <w:pStyle w:val="ListParagraph"/>
        <w:numPr>
          <w:ilvl w:val="0"/>
          <w:numId w:val="37"/>
        </w:numPr>
        <w:spacing w:after="0" w:line="240" w:lineRule="auto"/>
        <w:ind w:left="714" w:hanging="357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infrastruktury technicznej </w:t>
      </w:r>
    </w:p>
    <w:p w:rsidR="00D24193" w:rsidRDefault="00D24193">
      <w:pPr>
        <w:pStyle w:val="BodyText2"/>
        <w:rPr>
          <w:color w:val="auto"/>
        </w:rPr>
      </w:pPr>
    </w:p>
    <w:p w:rsidR="00D24193" w:rsidRDefault="00D24193">
      <w:pPr>
        <w:pStyle w:val="BodyText2"/>
        <w:jc w:val="both"/>
        <w:rPr>
          <w:color w:val="auto"/>
        </w:rPr>
      </w:pPr>
      <w:r>
        <w:rPr>
          <w:color w:val="auto"/>
        </w:rPr>
        <w:t>na poszczególnych odcinkach:</w:t>
      </w:r>
    </w:p>
    <w:p w:rsidR="00D24193" w:rsidRDefault="00D24193">
      <w:pPr>
        <w:widowControl/>
        <w:numPr>
          <w:ilvl w:val="0"/>
          <w:numId w:val="36"/>
        </w:numPr>
        <w:tabs>
          <w:tab w:val="clear" w:pos="709"/>
        </w:tabs>
        <w:autoSpaceDE/>
        <w:autoSpaceDN/>
        <w:rPr>
          <w:b/>
          <w:bCs/>
          <w:sz w:val="16"/>
          <w:szCs w:val="16"/>
          <w:lang w:val="pl-PL"/>
        </w:rPr>
      </w:pPr>
      <w:r>
        <w:rPr>
          <w:b/>
          <w:bCs/>
          <w:sz w:val="16"/>
          <w:szCs w:val="16"/>
          <w:lang w:val="pl-PL"/>
        </w:rPr>
        <w:t xml:space="preserve">Odcinek 1 </w:t>
      </w:r>
      <w:r>
        <w:rPr>
          <w:sz w:val="16"/>
          <w:szCs w:val="16"/>
          <w:lang w:val="pl-PL"/>
        </w:rPr>
        <w:t xml:space="preserve">– od Placu Orląt Lwowskich (obszar skrzyżowania ulic Podwale </w:t>
      </w:r>
      <w:r>
        <w:rPr>
          <w:sz w:val="16"/>
          <w:szCs w:val="16"/>
          <w:lang w:val="pl-PL"/>
        </w:rPr>
        <w:br/>
        <w:t>i Piłsudskiego) do skrzyżowania TAT z ul. Nabycińską (wraz ze skrzyżowaniem)</w:t>
      </w:r>
    </w:p>
    <w:p w:rsidR="00D24193" w:rsidRDefault="00D24193">
      <w:pPr>
        <w:widowControl/>
        <w:numPr>
          <w:ilvl w:val="0"/>
          <w:numId w:val="36"/>
        </w:numPr>
        <w:tabs>
          <w:tab w:val="clear" w:pos="709"/>
        </w:tabs>
        <w:autoSpaceDE/>
        <w:autoSpaceDN/>
        <w:rPr>
          <w:b/>
          <w:bCs/>
          <w:sz w:val="16"/>
          <w:szCs w:val="16"/>
          <w:lang w:val="pl-PL"/>
        </w:rPr>
      </w:pPr>
      <w:r>
        <w:rPr>
          <w:b/>
          <w:bCs/>
          <w:sz w:val="16"/>
          <w:szCs w:val="16"/>
          <w:lang w:val="pl-PL"/>
        </w:rPr>
        <w:t xml:space="preserve">Odcinek 2 </w:t>
      </w:r>
      <w:r>
        <w:rPr>
          <w:sz w:val="16"/>
          <w:szCs w:val="16"/>
          <w:lang w:val="pl-PL"/>
        </w:rPr>
        <w:t xml:space="preserve">– wzdłuż ul. „Nowo- Robotniczej” (równoległej do ul. Robotniczej) od skrzyżowania TAT z ul. Nabycińską (bez skrzyżowania) do skrzyżowania TAT </w:t>
      </w:r>
      <w:r>
        <w:rPr>
          <w:sz w:val="16"/>
          <w:szCs w:val="16"/>
          <w:lang w:val="pl-PL"/>
        </w:rPr>
        <w:br/>
        <w:t>z ul. Smolecką (wraz ze skrzyżowaniem)</w:t>
      </w:r>
      <w:r>
        <w:rPr>
          <w:b/>
          <w:bCs/>
          <w:sz w:val="16"/>
          <w:szCs w:val="16"/>
          <w:lang w:val="pl-PL"/>
        </w:rPr>
        <w:t xml:space="preserve"> </w:t>
      </w:r>
    </w:p>
    <w:p w:rsidR="00D24193" w:rsidRDefault="00D24193">
      <w:pPr>
        <w:widowControl/>
        <w:numPr>
          <w:ilvl w:val="0"/>
          <w:numId w:val="36"/>
        </w:numPr>
        <w:tabs>
          <w:tab w:val="clear" w:pos="709"/>
        </w:tabs>
        <w:autoSpaceDE/>
        <w:autoSpaceDN/>
        <w:rPr>
          <w:b/>
          <w:bCs/>
          <w:sz w:val="16"/>
          <w:szCs w:val="16"/>
          <w:lang w:val="pl-PL"/>
        </w:rPr>
      </w:pPr>
      <w:r>
        <w:rPr>
          <w:b/>
          <w:bCs/>
          <w:sz w:val="16"/>
          <w:szCs w:val="16"/>
          <w:lang w:val="pl-PL"/>
        </w:rPr>
        <w:t xml:space="preserve">Odcinek 3.1 </w:t>
      </w:r>
      <w:r>
        <w:rPr>
          <w:sz w:val="16"/>
          <w:szCs w:val="16"/>
          <w:lang w:val="pl-PL"/>
        </w:rPr>
        <w:t>- wzdłuż ul. Robotniczej od skrzyżowania TAT z ul. Smolecką (bez skrzyżowania) wzdłuż ul. Strzegomskiej do wiaduktu nad ul. Robotniczą</w:t>
      </w:r>
      <w:r>
        <w:rPr>
          <w:b/>
          <w:bCs/>
          <w:sz w:val="16"/>
          <w:szCs w:val="16"/>
          <w:lang w:val="pl-PL"/>
        </w:rPr>
        <w:t xml:space="preserve"> </w:t>
      </w:r>
    </w:p>
    <w:p w:rsidR="00D24193" w:rsidRDefault="00D24193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 xml:space="preserve">Odcinek 3.2 - </w:t>
      </w:r>
      <w:r>
        <w:rPr>
          <w:rFonts w:ascii="Verdana" w:hAnsi="Verdana" w:cs="Verdana"/>
          <w:sz w:val="16"/>
          <w:szCs w:val="16"/>
        </w:rPr>
        <w:t>od wiaduktu nad ul. Robotniczą do końca pętli Fabryczna</w:t>
      </w:r>
    </w:p>
    <w:p w:rsidR="00D24193" w:rsidRDefault="00D24193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 xml:space="preserve">Odcinek 3.3 - </w:t>
      </w:r>
      <w:r>
        <w:rPr>
          <w:rFonts w:ascii="Verdana" w:hAnsi="Verdana" w:cs="Verdana"/>
          <w:sz w:val="16"/>
          <w:szCs w:val="16"/>
        </w:rPr>
        <w:t>od końca pętli Fabryczna do końca przystanku Wrocławski Park Biznesu </w:t>
      </w:r>
    </w:p>
    <w:p w:rsidR="00D24193" w:rsidRDefault="00D24193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 xml:space="preserve">Odcinek 3.4 </w:t>
      </w:r>
      <w:r>
        <w:rPr>
          <w:rFonts w:ascii="Verdana" w:hAnsi="Verdana" w:cs="Verdana"/>
          <w:sz w:val="16"/>
          <w:szCs w:val="16"/>
        </w:rPr>
        <w:t xml:space="preserve">- od końca przystanku Wrocławski Park Biznesu do skrzyżowania </w:t>
      </w:r>
      <w:r>
        <w:rPr>
          <w:rFonts w:ascii="Verdana" w:hAnsi="Verdana" w:cs="Verdana"/>
          <w:sz w:val="16"/>
          <w:szCs w:val="16"/>
        </w:rPr>
        <w:br/>
        <w:t>z ul. „Nowo-Babimojską” (wraz ze skrzyżowaniem)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</w:p>
    <w:p w:rsidR="00D24193" w:rsidRDefault="00D24193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 xml:space="preserve">Odcinek 3.5 </w:t>
      </w:r>
      <w:r>
        <w:rPr>
          <w:rFonts w:ascii="Verdana" w:hAnsi="Verdana" w:cs="Verdana"/>
          <w:sz w:val="16"/>
          <w:szCs w:val="16"/>
        </w:rPr>
        <w:t>- od skrzyżowania z ul. „Nowo-Babimojską” (bez skrzyżowania) do skrzyżowania TAT z ul. Nowodworską (bez skrzyżowania)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</w:p>
    <w:p w:rsidR="00D24193" w:rsidRDefault="00D24193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 xml:space="preserve">Odcinek 4.1 </w:t>
      </w:r>
      <w:r>
        <w:rPr>
          <w:rFonts w:ascii="Verdana" w:hAnsi="Verdana" w:cs="Verdana"/>
          <w:sz w:val="16"/>
          <w:szCs w:val="16"/>
        </w:rPr>
        <w:t>- od skrzyżowania TAT z ul. Nowodworską (wraz ze skrzyżowaniem) do skrzyżowania z ul. Estońską (wraz ze skrzyżowaniem)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</w:p>
    <w:p w:rsidR="00D24193" w:rsidRDefault="00D24193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Verdana" w:hAnsi="Verdana" w:cs="Verdana"/>
          <w:b/>
          <w:bCs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 xml:space="preserve">Odcinek 4.2 </w:t>
      </w:r>
      <w:r>
        <w:rPr>
          <w:rFonts w:ascii="Verdana" w:hAnsi="Verdana" w:cs="Verdana"/>
          <w:sz w:val="16"/>
          <w:szCs w:val="16"/>
        </w:rPr>
        <w:t xml:space="preserve">- od skrzyżowania z ul. Estońską (bez skrzyżowania) do skrzyżowania </w:t>
      </w:r>
      <w:r>
        <w:rPr>
          <w:rFonts w:ascii="Verdana" w:hAnsi="Verdana" w:cs="Verdana"/>
          <w:sz w:val="16"/>
          <w:szCs w:val="16"/>
        </w:rPr>
        <w:br/>
        <w:t xml:space="preserve">z ul. Rogowską (wraz ze skrzyżowaniem) i budową pętli tramwajowej w obszarze </w:t>
      </w:r>
      <w:r>
        <w:rPr>
          <w:rFonts w:ascii="Verdana" w:hAnsi="Verdana" w:cs="Verdana"/>
          <w:sz w:val="16"/>
          <w:szCs w:val="16"/>
        </w:rPr>
        <w:br/>
        <w:t>w/w skrzyżowania ulic</w:t>
      </w:r>
      <w:r>
        <w:rPr>
          <w:rFonts w:ascii="Verdana" w:hAnsi="Verdana" w:cs="Verdana"/>
          <w:b/>
          <w:bCs/>
          <w:sz w:val="16"/>
          <w:szCs w:val="16"/>
        </w:rPr>
        <w:t xml:space="preserve"> </w:t>
      </w:r>
    </w:p>
    <w:p w:rsidR="00D24193" w:rsidRDefault="00D24193">
      <w:pPr>
        <w:pStyle w:val="BodyText2"/>
        <w:rPr>
          <w:color w:val="auto"/>
          <w:u w:val="single"/>
        </w:rPr>
      </w:pPr>
    </w:p>
    <w:p w:rsidR="00D24193" w:rsidRDefault="00D24193">
      <w:pPr>
        <w:pStyle w:val="BodyText2"/>
        <w:numPr>
          <w:ilvl w:val="0"/>
          <w:numId w:val="35"/>
        </w:numPr>
        <w:ind w:left="357" w:hanging="357"/>
        <w:jc w:val="both"/>
        <w:rPr>
          <w:b/>
          <w:bCs/>
          <w:color w:val="auto"/>
        </w:rPr>
      </w:pPr>
      <w:r>
        <w:rPr>
          <w:b/>
          <w:bCs/>
          <w:color w:val="auto"/>
        </w:rPr>
        <w:t>na następujących nieruchomościach objętych ww. decyzją:</w:t>
      </w:r>
    </w:p>
    <w:p w:rsidR="00D24193" w:rsidRDefault="00D24193">
      <w:pPr>
        <w:pStyle w:val="BodyText2"/>
        <w:jc w:val="both"/>
        <w:rPr>
          <w:b/>
          <w:bCs/>
          <w:color w:val="auto"/>
        </w:rPr>
      </w:pPr>
    </w:p>
    <w:p w:rsidR="00D24193" w:rsidRDefault="00D24193">
      <w:pPr>
        <w:widowControl/>
        <w:numPr>
          <w:ilvl w:val="0"/>
          <w:numId w:val="29"/>
        </w:numPr>
        <w:tabs>
          <w:tab w:val="clear" w:pos="709"/>
        </w:tabs>
        <w:autoSpaceDE/>
        <w:autoSpaceDN/>
        <w:jc w:val="lef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w pasach drogowych dróg gminnych</w:t>
      </w:r>
    </w:p>
    <w:p w:rsidR="00D24193" w:rsidRDefault="00D24193">
      <w:pPr>
        <w:rPr>
          <w:sz w:val="16"/>
          <w:szCs w:val="16"/>
          <w:lang w:val="pl-PL"/>
        </w:rPr>
      </w:pPr>
    </w:p>
    <w:tbl>
      <w:tblPr>
        <w:tblW w:w="885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"/>
        <w:gridCol w:w="1418"/>
        <w:gridCol w:w="567"/>
        <w:gridCol w:w="1318"/>
        <w:gridCol w:w="5103"/>
      </w:tblGrid>
      <w:tr w:rsidR="00D24193">
        <w:trPr>
          <w:cantSplit/>
          <w:tblHeader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pStyle w:val="BalloonText"/>
              <w:rPr>
                <w:rFonts w:ascii="Verdana" w:hAnsi="Verdana" w:cs="Verdana"/>
                <w:lang w:val="de-DE"/>
              </w:rPr>
            </w:pPr>
            <w:r>
              <w:rPr>
                <w:rFonts w:ascii="Verdana" w:hAnsi="Verdana" w:cs="Verdana"/>
                <w:lang w:val="de-DE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pStyle w:val="BalloonText"/>
              <w:rPr>
                <w:rFonts w:ascii="Verdana" w:hAnsi="Verdana" w:cs="Verdana"/>
                <w:lang w:val="de-DE"/>
              </w:rPr>
            </w:pPr>
            <w:r>
              <w:rPr>
                <w:rFonts w:ascii="Verdana" w:hAnsi="Verdana" w:cs="Verdana"/>
                <w:lang w:val="de-DE"/>
              </w:rPr>
              <w:t>Obręb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AM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Numer działki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Zakres zmian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Stare Miasto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Stare Miasto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37/1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technologiczne), kanalizacja deszczowa, sieć wodociągowa, gazowa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Stare Miasto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37/4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technologiczne), kanalizacja deszczowa, sieć gazowa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Stare Miasto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Stare Miasto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2/3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Stare Miasto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1/2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technologiczne), kanalizacja deszczowa, sieć wodociągowa, elektroenergetyczna, teletechniczna, roboty nawierzchniowe: zjazd, chodnik, jezdnia (roboty na zwiększonym obszarze – podstawa zajęcia: prawo do dysponowania nieruchomością na cele budowlane)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Stare Miasto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1/1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technologiczne), sieć wodociągowa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Stare Miasto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technologiczne), kanalizacja deszczowa, sieć wodociągowa</w:t>
            </w:r>
          </w:p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(roboty na zwiększonym obszarze – podstawa zajęcia: prawo do dysponowania nieruchomością na cele budowlane)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Stare Miasto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MKT (miejskie kanały technologiczne), kanalizacja deszczowa, sieć wodociągowa, teletechniczna 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Stare Miasto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1/1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Stare Miasto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1/4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technologiczne), sieć teletechniczna (likwidacja)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Stare Miasto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5/4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Stare Miasto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13/31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Stare Miasto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13/28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technologiczne), kanalizacja deszczowa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Stare Miasto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14/4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technologiczne), kanalizacja deszczowa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Stare Miasto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7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33/5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Stare Miasto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technologiczne), kanalizacja deszczowa, sieć gazowa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Stare Miasto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10/33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technologiczne), kanalizacja deszczowa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Stare Miasto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10/30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technologiczne), kanalizacja deszczowa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Stare Miasto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20/1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Stare Miasto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10/13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technologiczne), kanalizacja deszczowa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Stare Miasto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17/4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Stare Miasto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17/15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Stare Miasto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18/1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technologiczne), kanalizacja deszczowa (roboty na zwiększonym obszarze – podstawa zajęcia: prawo do dysponowania nieruchomością na cele budowlane)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Popowice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15/1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Popowice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16/17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sieć ciepłownicza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Popowice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technologiczne), kanalizacja deszczowa, sieć gazowa, ciepłownicza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Popowice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technologiczne), kanalizacja deszczowa, sieć gazowa, ciepłownicza, teletechniczna, budowa zjazdu do przepompowni P2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Popowice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kanalizacja deszczowa, sieć elektroenergetyczna, budowa zjazdu do przepompowni P2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Popowice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kanalizacja deszczowa, sieć elektroenergetyczna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Grabiszyn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1/20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technologiczne), kanalizacja deszczowa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Grabiszyn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1/22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technologiczne), sieć teletechniczna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Grabiszyn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1/90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Grabiszyn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1/92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technologiczne), kanalizacja deszczowa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Grabiszyn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2/1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Grabiszyn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2/2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Grabiszyn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kanalizacja deszczowa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Grabiszyn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kanalizacja deszczowa, sieć wodociągowa, gazowa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Grabiszyn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technologiczne), kanalizacja deszczowa, sanitarna, sieć wodociągowa, elektroenergetyczna, budowa zjazdu do przepompowni P2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Grabiszyn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3/63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technologiczne), kanalizacja deszczowa, sieć gazowa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Grabiszyn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3/65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Grabiszyn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3/47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kanalizacja deszczowa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Grabiszyn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3/48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kanalizacja deszczowa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Grabiszyn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3/50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technologiczne), kanalizacja deszczowa, sieć wodociągowa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Grabiszyn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Grabiszyn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Grabiszyn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11/2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technologiczne), kanalizacja deszczowa, sieć elektroenergetyczna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Grabiszyn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12/4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pStyle w:val="BalloonText"/>
              <w:rPr>
                <w:rFonts w:ascii="Verdana" w:hAnsi="Verdana" w:cs="Verdana"/>
                <w:lang w:val="pl-PL"/>
              </w:rPr>
            </w:pPr>
            <w:r>
              <w:rPr>
                <w:rFonts w:ascii="Verdana" w:hAnsi="Verdana" w:cs="Verdana"/>
                <w:lang w:val="pl-PL"/>
              </w:rPr>
              <w:t>Muchobór Mały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technologiczne), sieć elektroenergetyczna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pStyle w:val="BalloonText"/>
              <w:rPr>
                <w:rFonts w:ascii="Verdana" w:hAnsi="Verdana" w:cs="Verdana"/>
                <w:lang w:val="pl-PL"/>
              </w:rPr>
            </w:pPr>
            <w:r>
              <w:rPr>
                <w:rFonts w:ascii="Verdana" w:hAnsi="Verdana" w:cs="Verdana"/>
                <w:lang w:val="pl-PL"/>
              </w:rPr>
              <w:t>Muchobór Mały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12/1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sieć elektroenergetyczna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pStyle w:val="BalloonText"/>
              <w:rPr>
                <w:rFonts w:ascii="Verdana" w:hAnsi="Verdana" w:cs="Verdana"/>
                <w:lang w:val="pl-PL"/>
              </w:rPr>
            </w:pPr>
            <w:r>
              <w:rPr>
                <w:rFonts w:ascii="Verdana" w:hAnsi="Verdana" w:cs="Verdana"/>
                <w:lang w:val="pl-PL"/>
              </w:rPr>
              <w:t>Muchobór Mały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2/24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Muchobór Mały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Muchobór Mały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9/17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Muchobór Mały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9/12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Muchobór Mały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7/2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technologiczne), kanalizacja deszczowa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Muchobór Mały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7/4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Muchobór Mały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7/5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Muchobór Mały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12/69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Muchobór Mały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15/1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technologiczne), kanalizacja deszczowa, sieć wodociągowa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Muchobór Mały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12/19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Muchobór Mały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Muchobór Mały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14/5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Muchobór Mały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12/27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Muchobór Mały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12/35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Muchobór Mały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13/3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1/11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technologiczne), kanalizacja deszczowa, sanitarna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1/32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21/6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11/9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</w:tbl>
    <w:p w:rsidR="00D24193" w:rsidRDefault="00D24193">
      <w:pPr>
        <w:rPr>
          <w:sz w:val="16"/>
          <w:szCs w:val="16"/>
          <w:lang w:val="pl-PL"/>
        </w:rPr>
      </w:pPr>
    </w:p>
    <w:p w:rsidR="00D24193" w:rsidRDefault="00D24193">
      <w:pPr>
        <w:rPr>
          <w:sz w:val="16"/>
          <w:szCs w:val="16"/>
          <w:lang w:val="pl-PL"/>
        </w:rPr>
      </w:pPr>
    </w:p>
    <w:p w:rsidR="00D24193" w:rsidRDefault="00D24193">
      <w:pPr>
        <w:rPr>
          <w:sz w:val="16"/>
          <w:szCs w:val="16"/>
          <w:lang w:val="pl-PL"/>
        </w:rPr>
      </w:pPr>
    </w:p>
    <w:p w:rsidR="00D24193" w:rsidRDefault="00D24193">
      <w:pPr>
        <w:widowControl/>
        <w:numPr>
          <w:ilvl w:val="0"/>
          <w:numId w:val="29"/>
        </w:numPr>
        <w:tabs>
          <w:tab w:val="clear" w:pos="709"/>
        </w:tabs>
        <w:autoSpaceDE/>
        <w:autoSpaceDN/>
        <w:jc w:val="lef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w pasie drogowym drogi powiatowej</w:t>
      </w:r>
    </w:p>
    <w:p w:rsidR="00D24193" w:rsidRDefault="00D24193">
      <w:pPr>
        <w:pStyle w:val="11Trescpisma"/>
        <w:spacing w:before="0"/>
        <w:rPr>
          <w:sz w:val="16"/>
          <w:szCs w:val="16"/>
        </w:rPr>
      </w:pPr>
    </w:p>
    <w:tbl>
      <w:tblPr>
        <w:tblW w:w="885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"/>
        <w:gridCol w:w="1418"/>
        <w:gridCol w:w="567"/>
        <w:gridCol w:w="1318"/>
        <w:gridCol w:w="5103"/>
      </w:tblGrid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pStyle w:val="BalloonText"/>
              <w:rPr>
                <w:rFonts w:ascii="Verdana" w:hAnsi="Verdana" w:cs="Verdana"/>
                <w:lang w:val="de-DE"/>
              </w:rPr>
            </w:pPr>
            <w:r>
              <w:rPr>
                <w:rFonts w:ascii="Verdana" w:hAnsi="Verdana" w:cs="Verdana"/>
                <w:lang w:val="de-DE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pStyle w:val="BalloonText"/>
              <w:rPr>
                <w:rFonts w:ascii="Verdana" w:hAnsi="Verdana" w:cs="Verdana"/>
                <w:lang w:val="de-DE"/>
              </w:rPr>
            </w:pPr>
            <w:r>
              <w:rPr>
                <w:rFonts w:ascii="Verdana" w:hAnsi="Verdana" w:cs="Verdana"/>
                <w:lang w:val="de-DE"/>
              </w:rPr>
              <w:t>Obręb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AM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Numer działki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Zakres zmian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1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pStyle w:val="BalloonText"/>
              <w:rPr>
                <w:rFonts w:ascii="Verdana" w:hAnsi="Verdana" w:cs="Verdana"/>
                <w:lang w:val="pl-PL"/>
              </w:rPr>
            </w:pPr>
            <w:r>
              <w:rPr>
                <w:rFonts w:ascii="Verdana" w:hAnsi="Verdana" w:cs="Verdana"/>
                <w:lang w:val="pl-PL"/>
              </w:rPr>
              <w:t>Muchobór Mały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13/1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sieć elektroenergetyczna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1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Muchobór Mały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9/4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1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Muchobór Mały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7/1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technologiczne), kanalizacja deszczowa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1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Muchobór Mały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6/5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1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Muchobór Mały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6/22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1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Muchobór Mały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14/4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technologiczne), kanalizacja sanitarna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1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Muchobór Mały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technologiczne), kanalizacja deszczowa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1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1/12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1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1/13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kanalizacja sanitarna, sieć wodociągowa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1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1/14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technologiczne), sieć wodociągowa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1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1/15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technologiczne), kanalizacja sanitarna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1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1/23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1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21/10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1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21/17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1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21/4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technologiczne), kanalizacja deszczowa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1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23/5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technologiczne), kanalizacja deszczowa</w:t>
            </w:r>
          </w:p>
        </w:tc>
      </w:tr>
      <w:tr w:rsidR="00D24193">
        <w:trPr>
          <w:cantSplit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1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Nowy Dwór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23/10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</w:tbl>
    <w:p w:rsidR="00D24193" w:rsidRDefault="00D24193">
      <w:pPr>
        <w:pStyle w:val="11Trescpisma"/>
        <w:spacing w:before="0"/>
        <w:rPr>
          <w:sz w:val="16"/>
          <w:szCs w:val="16"/>
        </w:rPr>
      </w:pPr>
    </w:p>
    <w:p w:rsidR="00D24193" w:rsidRDefault="00D24193">
      <w:pPr>
        <w:widowControl/>
        <w:numPr>
          <w:ilvl w:val="0"/>
          <w:numId w:val="29"/>
        </w:numPr>
        <w:tabs>
          <w:tab w:val="clear" w:pos="709"/>
        </w:tabs>
        <w:autoSpaceDE/>
        <w:autoSpaceDN/>
        <w:jc w:val="lef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w pasie drogowym drogi krajowej</w:t>
      </w:r>
    </w:p>
    <w:p w:rsidR="00D24193" w:rsidRDefault="00D24193">
      <w:pPr>
        <w:pStyle w:val="11Trescpisma"/>
        <w:spacing w:before="0"/>
        <w:rPr>
          <w:sz w:val="16"/>
          <w:szCs w:val="16"/>
        </w:rPr>
      </w:pPr>
    </w:p>
    <w:tbl>
      <w:tblPr>
        <w:tblW w:w="885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"/>
        <w:gridCol w:w="1495"/>
        <w:gridCol w:w="567"/>
        <w:gridCol w:w="1276"/>
        <w:gridCol w:w="5103"/>
      </w:tblGrid>
      <w:tr w:rsidR="00D24193">
        <w:trPr>
          <w:cantSplit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pStyle w:val="BalloonText"/>
              <w:rPr>
                <w:rFonts w:ascii="Verdana" w:hAnsi="Verdana" w:cs="Verdana"/>
                <w:lang w:val="de-DE"/>
              </w:rPr>
            </w:pPr>
            <w:r>
              <w:rPr>
                <w:rFonts w:ascii="Verdana" w:hAnsi="Verdana" w:cs="Verdana"/>
                <w:lang w:val="de-DE"/>
              </w:rPr>
              <w:t>Lp.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pStyle w:val="BalloonText"/>
              <w:rPr>
                <w:rFonts w:ascii="Verdana" w:hAnsi="Verdana" w:cs="Verdana"/>
                <w:lang w:val="de-DE"/>
              </w:rPr>
            </w:pPr>
            <w:r>
              <w:rPr>
                <w:rFonts w:ascii="Verdana" w:hAnsi="Verdana" w:cs="Verdana"/>
                <w:lang w:val="de-DE"/>
              </w:rPr>
              <w:t>Obręb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Numer działki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Zakres zmian</w:t>
            </w:r>
          </w:p>
        </w:tc>
      </w:tr>
      <w:tr w:rsidR="00D24193">
        <w:trPr>
          <w:cantSplit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2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pStyle w:val="BalloonText"/>
              <w:rPr>
                <w:rFonts w:ascii="Verdana" w:hAnsi="Verdana" w:cs="Verdana"/>
                <w:lang w:val="pl-PL"/>
              </w:rPr>
            </w:pPr>
            <w:r>
              <w:rPr>
                <w:rFonts w:ascii="Verdana" w:hAnsi="Verdana" w:cs="Verdana"/>
                <w:lang w:val="pl-PL"/>
              </w:rPr>
              <w:t>Muchobór Mały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9/11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</w:tbl>
    <w:p w:rsidR="00D24193" w:rsidRDefault="00D24193">
      <w:pPr>
        <w:pStyle w:val="11Trescpisma"/>
        <w:spacing w:before="0"/>
        <w:rPr>
          <w:sz w:val="16"/>
          <w:szCs w:val="16"/>
        </w:rPr>
      </w:pPr>
    </w:p>
    <w:p w:rsidR="00D24193" w:rsidRDefault="00D24193">
      <w:pPr>
        <w:widowControl/>
        <w:numPr>
          <w:ilvl w:val="0"/>
          <w:numId w:val="29"/>
        </w:numPr>
        <w:tabs>
          <w:tab w:val="clear" w:pos="709"/>
        </w:tabs>
        <w:autoSpaceDE/>
        <w:autoSpaceDN/>
        <w:jc w:val="lef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stanowiących tereny linii kolejowych, na których roboty są prowadzone na podstawie art. 20a ustawy </w:t>
      </w:r>
      <w:r>
        <w:rPr>
          <w:i/>
          <w:iCs/>
          <w:sz w:val="16"/>
          <w:szCs w:val="16"/>
          <w:lang w:val="pl-PL"/>
        </w:rPr>
        <w:t>o szczególnych zasadach przygotowania i realizacji inwestycji w zakresie dróg publicznych</w:t>
      </w:r>
    </w:p>
    <w:p w:rsidR="00D24193" w:rsidRDefault="00D24193">
      <w:pPr>
        <w:pStyle w:val="14StanowiskoPodpisujacego"/>
        <w:rPr>
          <w:b/>
          <w:bCs/>
          <w:sz w:val="16"/>
          <w:szCs w:val="16"/>
        </w:rPr>
      </w:pPr>
    </w:p>
    <w:tbl>
      <w:tblPr>
        <w:tblW w:w="885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9"/>
        <w:gridCol w:w="1504"/>
        <w:gridCol w:w="567"/>
        <w:gridCol w:w="1276"/>
        <w:gridCol w:w="2551"/>
        <w:gridCol w:w="2552"/>
      </w:tblGrid>
      <w:tr w:rsidR="00D24193">
        <w:trPr>
          <w:cantSplit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Lp.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Obręb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Numer działki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Powierzchnia zajęcia [ha]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Zakres zmian</w:t>
            </w:r>
          </w:p>
        </w:tc>
      </w:tr>
      <w:tr w:rsidR="00D24193">
        <w:trPr>
          <w:cantSplit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3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Grabiszyn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Zwiększono obszar zajęcia do </w:t>
            </w:r>
          </w:p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0,0050 ha (50,50 m</w:t>
            </w:r>
            <w:r>
              <w:rPr>
                <w:sz w:val="16"/>
                <w:szCs w:val="16"/>
                <w:vertAlign w:val="superscript"/>
                <w:lang w:val="pl-PL"/>
              </w:rPr>
              <w:t>2</w:t>
            </w:r>
            <w:r>
              <w:rPr>
                <w:sz w:val="16"/>
                <w:szCs w:val="16"/>
                <w:lang w:val="pl-PL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kanalizacja sanitarna, sieć elektroenergetyczna, wodociągowa</w:t>
            </w:r>
          </w:p>
        </w:tc>
      </w:tr>
      <w:tr w:rsidR="00D24193">
        <w:trPr>
          <w:cantSplit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3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Popowice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9/2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0,4653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kanalizacja deszczowa</w:t>
            </w:r>
          </w:p>
        </w:tc>
      </w:tr>
      <w:tr w:rsidR="00D24193">
        <w:trPr>
          <w:cantSplit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3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pStyle w:val="BalloonText"/>
              <w:rPr>
                <w:rFonts w:ascii="Verdana" w:hAnsi="Verdana" w:cs="Verdana"/>
                <w:lang w:val="pl-PL"/>
              </w:rPr>
            </w:pPr>
            <w:r>
              <w:rPr>
                <w:rFonts w:ascii="Verdana" w:hAnsi="Verdana" w:cs="Verdana"/>
                <w:lang w:val="pl-PL"/>
              </w:rPr>
              <w:t>Muchobór Mały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6/5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0,1304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</w:tbl>
    <w:p w:rsidR="00D24193" w:rsidRDefault="00D24193">
      <w:pPr>
        <w:pStyle w:val="14StanowiskoPodpisujacego"/>
        <w:rPr>
          <w:sz w:val="16"/>
          <w:szCs w:val="16"/>
        </w:rPr>
      </w:pPr>
    </w:p>
    <w:p w:rsidR="00D24193" w:rsidRDefault="00D24193">
      <w:pPr>
        <w:widowControl/>
        <w:numPr>
          <w:ilvl w:val="0"/>
          <w:numId w:val="29"/>
        </w:numPr>
        <w:tabs>
          <w:tab w:val="clear" w:pos="709"/>
        </w:tabs>
        <w:autoSpaceDE/>
        <w:autoSpaceDN/>
        <w:jc w:val="lef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niezbędnych dla realizacji obiektów i robót budowlanych, dla których określono ograniczenia </w:t>
      </w:r>
      <w:r>
        <w:rPr>
          <w:sz w:val="16"/>
          <w:szCs w:val="16"/>
          <w:lang w:val="pl-PL"/>
        </w:rPr>
        <w:br/>
        <w:t>w korzystaniu z nieruchomości przez udzielenie zezwolenia na wykonanie obowiązków wymienionych w art. 11f ust. 1 pkt 8 lit. b-c, e-h ustawy o szczególnych zasadach przygotowania i realizacji inwestycji w zakresie dróg publicznych</w:t>
      </w:r>
    </w:p>
    <w:p w:rsidR="00D24193" w:rsidRDefault="00D24193">
      <w:pPr>
        <w:rPr>
          <w:b/>
          <w:bCs/>
          <w:sz w:val="16"/>
          <w:szCs w:val="16"/>
          <w:lang w:val="pl-PL"/>
        </w:rPr>
      </w:pPr>
    </w:p>
    <w:tbl>
      <w:tblPr>
        <w:tblW w:w="885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3"/>
        <w:gridCol w:w="1394"/>
        <w:gridCol w:w="553"/>
        <w:gridCol w:w="1276"/>
        <w:gridCol w:w="2551"/>
        <w:gridCol w:w="2621"/>
      </w:tblGrid>
      <w:tr w:rsidR="00D24193">
        <w:trPr>
          <w:cantSplit/>
          <w:tblHeader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pStyle w:val="BalloonText"/>
              <w:rPr>
                <w:rFonts w:ascii="Verdana" w:hAnsi="Verdana" w:cs="Verdana"/>
                <w:lang w:val="de-DE"/>
              </w:rPr>
            </w:pPr>
            <w:r>
              <w:rPr>
                <w:rFonts w:ascii="Verdana" w:hAnsi="Verdana" w:cs="Verdana"/>
                <w:lang w:val="de-DE"/>
              </w:rPr>
              <w:t>Lp.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Obręb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Numer działki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Powierzchnia zajęcia [ha]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pStyle w:val="12Zwyrazamiszacunku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Zakres zmian</w:t>
            </w:r>
          </w:p>
        </w:tc>
      </w:tr>
      <w:tr w:rsidR="00D24193">
        <w:trPr>
          <w:cantSplit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4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pStyle w:val="BalloonText"/>
              <w:rPr>
                <w:rFonts w:ascii="Verdana" w:hAnsi="Verdana" w:cs="Verdana"/>
                <w:lang w:val="pl-PL"/>
              </w:rPr>
            </w:pPr>
            <w:r>
              <w:rPr>
                <w:rFonts w:ascii="Verdana" w:hAnsi="Verdana" w:cs="Verdana"/>
                <w:lang w:val="pl-PL"/>
              </w:rPr>
              <w:t>Stare Miasto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2/4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Zwiększono obszar zajęcia - łączna powierzchnia zajęcia 0,0636 ha (636,393 m</w:t>
            </w:r>
            <w:r>
              <w:rPr>
                <w:sz w:val="16"/>
                <w:szCs w:val="16"/>
                <w:vertAlign w:val="superscript"/>
                <w:lang w:val="pl-PL"/>
              </w:rPr>
              <w:t>2</w:t>
            </w:r>
            <w:r>
              <w:rPr>
                <w:sz w:val="16"/>
                <w:szCs w:val="16"/>
                <w:lang w:val="pl-PL"/>
              </w:rPr>
              <w:t>) - nałożenie ograniczeń w korzystaniu z nieruchomości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4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pStyle w:val="BalloonText"/>
              <w:rPr>
                <w:rFonts w:ascii="Verdana" w:hAnsi="Verdana" w:cs="Verdana"/>
                <w:lang w:val="pl-PL"/>
              </w:rPr>
            </w:pPr>
            <w:r>
              <w:rPr>
                <w:rFonts w:ascii="Verdana" w:hAnsi="Verdana" w:cs="Verdana"/>
                <w:lang w:val="pl-PL"/>
              </w:rPr>
              <w:t>Stare Miasto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13/32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0,0215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4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Stare Miasto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8/17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0,0060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4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Grabiszyn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 xml:space="preserve">1/121 </w:t>
            </w:r>
          </w:p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(dawna 1/74)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0,0385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sieć teletechniczna, kanalizacja deszczowa</w:t>
            </w:r>
          </w:p>
        </w:tc>
      </w:tr>
      <w:tr w:rsidR="00D24193">
        <w:trPr>
          <w:cantSplit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4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Popowice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16/16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0,0295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sieć ciepłownicza</w:t>
            </w:r>
          </w:p>
        </w:tc>
      </w:tr>
      <w:tr w:rsidR="00D24193">
        <w:trPr>
          <w:cantSplit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4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pStyle w:val="BalloonText"/>
              <w:rPr>
                <w:rFonts w:ascii="Verdana" w:hAnsi="Verdana" w:cs="Verdana"/>
                <w:lang w:val="pl-PL"/>
              </w:rPr>
            </w:pPr>
            <w:r>
              <w:rPr>
                <w:rFonts w:ascii="Verdana" w:hAnsi="Verdana" w:cs="Verdana"/>
                <w:lang w:val="pl-PL"/>
              </w:rPr>
              <w:t>Muchobór Mały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12/4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0,0001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4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pStyle w:val="BalloonText"/>
              <w:rPr>
                <w:rFonts w:ascii="Verdana" w:hAnsi="Verdana" w:cs="Verdana"/>
                <w:lang w:val="pl-PL"/>
              </w:rPr>
            </w:pPr>
            <w:r>
              <w:rPr>
                <w:rFonts w:ascii="Verdana" w:hAnsi="Verdana" w:cs="Verdana"/>
                <w:lang w:val="pl-PL"/>
              </w:rPr>
              <w:t>Muchobór Mały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13/5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0,1144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sieć elektroenergetyczna</w:t>
            </w:r>
          </w:p>
        </w:tc>
      </w:tr>
      <w:tr w:rsidR="00D24193">
        <w:trPr>
          <w:cantSplit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4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Muchobór Mały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6/1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0,0572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4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Muchobór Mały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6/2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0,1351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4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pStyle w:val="BalloonText"/>
              <w:rPr>
                <w:rFonts w:ascii="Verdana" w:hAnsi="Verdana" w:cs="Verdana"/>
                <w:lang w:val="pl-PL"/>
              </w:rPr>
            </w:pPr>
            <w:r>
              <w:rPr>
                <w:rFonts w:ascii="Verdana" w:hAnsi="Verdana" w:cs="Verdana"/>
                <w:lang w:val="pl-PL"/>
              </w:rPr>
              <w:t>Muchobór Mały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10/4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0,0046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4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pStyle w:val="BalloonText"/>
              <w:rPr>
                <w:rFonts w:ascii="Verdana" w:hAnsi="Verdana" w:cs="Verdana"/>
                <w:lang w:val="pl-PL"/>
              </w:rPr>
            </w:pPr>
            <w:r>
              <w:rPr>
                <w:rFonts w:ascii="Verdana" w:hAnsi="Verdana" w:cs="Verdana"/>
                <w:lang w:val="pl-PL"/>
              </w:rPr>
              <w:t>Muchobór Mały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11/4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0,0045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4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pStyle w:val="BalloonText"/>
              <w:rPr>
                <w:rFonts w:ascii="Verdana" w:hAnsi="Verdana" w:cs="Verdana"/>
                <w:lang w:val="pl-PL"/>
              </w:rPr>
            </w:pPr>
            <w:r>
              <w:rPr>
                <w:rFonts w:ascii="Verdana" w:hAnsi="Verdana" w:cs="Verdana"/>
                <w:lang w:val="pl-PL"/>
              </w:rPr>
              <w:t>Muchobór Mały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13/5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0,0021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4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pStyle w:val="BalloonText"/>
              <w:rPr>
                <w:rFonts w:ascii="Verdana" w:hAnsi="Verdana" w:cs="Verdana"/>
                <w:lang w:val="pl-PL"/>
              </w:rPr>
            </w:pPr>
            <w:r>
              <w:rPr>
                <w:rFonts w:ascii="Verdana" w:hAnsi="Verdana" w:cs="Verdana"/>
                <w:lang w:val="pl-PL"/>
              </w:rPr>
              <w:t>Muchobór Mały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13/6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0,0175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4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pStyle w:val="BalloonText"/>
              <w:rPr>
                <w:rFonts w:ascii="Verdana" w:hAnsi="Verdana" w:cs="Verdana"/>
                <w:lang w:val="pl-PL"/>
              </w:rPr>
            </w:pPr>
            <w:r>
              <w:rPr>
                <w:rFonts w:ascii="Verdana" w:hAnsi="Verdana" w:cs="Verdana"/>
                <w:lang w:val="pl-PL"/>
              </w:rPr>
              <w:t>Muchobór Mały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14/1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0,0137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4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pStyle w:val="BalloonText"/>
              <w:rPr>
                <w:rFonts w:ascii="Verdana" w:hAnsi="Verdana" w:cs="Verdana"/>
                <w:lang w:val="pl-PL"/>
              </w:rPr>
            </w:pPr>
            <w:r>
              <w:rPr>
                <w:rFonts w:ascii="Verdana" w:hAnsi="Verdana" w:cs="Verdana"/>
                <w:lang w:val="pl-PL"/>
              </w:rPr>
              <w:t>Muchobór Mały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0,0075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4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pStyle w:val="BalloonText"/>
              <w:rPr>
                <w:rFonts w:ascii="Verdana" w:hAnsi="Verdana" w:cs="Verdana"/>
                <w:lang w:val="pl-PL"/>
              </w:rPr>
            </w:pPr>
            <w:r>
              <w:rPr>
                <w:rFonts w:ascii="Verdana" w:hAnsi="Verdana" w:cs="Verdana"/>
                <w:lang w:val="pl-PL"/>
              </w:rPr>
              <w:t>Muchobór Mały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16/1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0,0261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4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pStyle w:val="BalloonText"/>
              <w:rPr>
                <w:rFonts w:ascii="Verdana" w:hAnsi="Verdana" w:cs="Verdana"/>
                <w:lang w:val="pl-PL"/>
              </w:rPr>
            </w:pPr>
            <w:r>
              <w:rPr>
                <w:rFonts w:ascii="Verdana" w:hAnsi="Verdana" w:cs="Verdana"/>
                <w:lang w:val="pl-PL"/>
              </w:rPr>
              <w:t>Muchobór Mały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16/28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0,0061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</w:tbl>
    <w:p w:rsidR="00D24193" w:rsidRDefault="00D24193">
      <w:pPr>
        <w:pStyle w:val="BodyText2"/>
        <w:rPr>
          <w:color w:val="auto"/>
        </w:rPr>
      </w:pPr>
    </w:p>
    <w:p w:rsidR="00D24193" w:rsidRDefault="00D24193">
      <w:pPr>
        <w:pStyle w:val="BodyText2"/>
        <w:rPr>
          <w:color w:val="auto"/>
        </w:rPr>
      </w:pPr>
    </w:p>
    <w:p w:rsidR="00D24193" w:rsidRDefault="00D24193">
      <w:pPr>
        <w:pStyle w:val="BodyText2"/>
        <w:numPr>
          <w:ilvl w:val="0"/>
          <w:numId w:val="35"/>
        </w:numPr>
        <w:ind w:left="357" w:hanging="357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na terenach dodatkowych </w:t>
      </w:r>
      <w:r>
        <w:rPr>
          <w:color w:val="auto"/>
        </w:rPr>
        <w:t>– dla których złożono oświadczenie o posiadanym prawie do dysponowania nieruchomościami na cele budowlane:</w:t>
      </w:r>
    </w:p>
    <w:p w:rsidR="00D24193" w:rsidRDefault="00D24193">
      <w:pPr>
        <w:ind w:left="720"/>
        <w:rPr>
          <w:sz w:val="16"/>
          <w:szCs w:val="16"/>
          <w:lang w:val="pl-PL"/>
        </w:rPr>
      </w:pPr>
    </w:p>
    <w:tbl>
      <w:tblPr>
        <w:tblW w:w="885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1"/>
        <w:gridCol w:w="1382"/>
        <w:gridCol w:w="567"/>
        <w:gridCol w:w="1276"/>
        <w:gridCol w:w="2551"/>
        <w:gridCol w:w="2621"/>
      </w:tblGrid>
      <w:tr w:rsidR="00D24193">
        <w:trPr>
          <w:cantSplit/>
        </w:trPr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pStyle w:val="BalloonText"/>
              <w:rPr>
                <w:rFonts w:ascii="Verdana" w:hAnsi="Verdana" w:cs="Verdana"/>
                <w:lang w:val="de-DE"/>
              </w:rPr>
            </w:pPr>
            <w:r>
              <w:rPr>
                <w:rFonts w:ascii="Verdana" w:hAnsi="Verdana" w:cs="Verdana"/>
                <w:lang w:val="de-DE"/>
              </w:rPr>
              <w:t>Lp.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Obręb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Numer działki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Powierzchnia zajęcia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pStyle w:val="12Zwyrazamiszacunku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 zajęcia</w:t>
            </w:r>
          </w:p>
        </w:tc>
      </w:tr>
      <w:tr w:rsidR="00D24193">
        <w:trPr>
          <w:cantSplit/>
        </w:trPr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9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pStyle w:val="BalloonText"/>
              <w:rPr>
                <w:rFonts w:ascii="Verdana" w:hAnsi="Verdana" w:cs="Verdana"/>
                <w:lang w:val="pl-PL"/>
              </w:rPr>
            </w:pPr>
            <w:r>
              <w:rPr>
                <w:rFonts w:ascii="Verdana" w:hAnsi="Verdana" w:cs="Verdana"/>
                <w:lang w:val="pl-PL"/>
              </w:rPr>
              <w:t>Popowice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0,0062 ha (62,15 m</w:t>
            </w:r>
            <w:r>
              <w:rPr>
                <w:sz w:val="16"/>
                <w:szCs w:val="16"/>
                <w:vertAlign w:val="superscript"/>
                <w:lang w:val="pl-PL"/>
              </w:rPr>
              <w:t>2</w:t>
            </w:r>
            <w:r>
              <w:rPr>
                <w:sz w:val="16"/>
                <w:szCs w:val="16"/>
                <w:lang w:val="pl-PL"/>
              </w:rPr>
              <w:t>)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9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pStyle w:val="BalloonText"/>
              <w:rPr>
                <w:rFonts w:ascii="Verdana" w:hAnsi="Verdana" w:cs="Verdana"/>
                <w:lang w:val="pl-PL"/>
              </w:rPr>
            </w:pPr>
            <w:r>
              <w:rPr>
                <w:rFonts w:ascii="Verdana" w:hAnsi="Verdana" w:cs="Verdana"/>
                <w:lang w:val="pl-PL"/>
              </w:rPr>
              <w:t>Stare Miasto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0,0061 ha (61,08 m</w:t>
            </w:r>
            <w:r>
              <w:rPr>
                <w:sz w:val="16"/>
                <w:szCs w:val="16"/>
                <w:vertAlign w:val="superscript"/>
                <w:lang w:val="pl-PL"/>
              </w:rPr>
              <w:t>2</w:t>
            </w:r>
            <w:r>
              <w:rPr>
                <w:sz w:val="16"/>
                <w:szCs w:val="16"/>
                <w:lang w:val="pl-PL"/>
              </w:rPr>
              <w:t>)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9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Popowice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15/2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zwiększono obszar zajęcia o dodatkowe 0,0474 ha (474,573 m</w:t>
            </w:r>
            <w:r>
              <w:rPr>
                <w:sz w:val="16"/>
                <w:szCs w:val="16"/>
                <w:vertAlign w:val="superscript"/>
                <w:lang w:val="pl-PL"/>
              </w:rPr>
              <w:t>2</w:t>
            </w:r>
            <w:r>
              <w:rPr>
                <w:sz w:val="16"/>
                <w:szCs w:val="16"/>
                <w:lang w:val="pl-PL"/>
              </w:rPr>
              <w:t xml:space="preserve">)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  <w:tr w:rsidR="00D24193">
        <w:trPr>
          <w:cantSplit/>
        </w:trPr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39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pStyle w:val="BalloonText"/>
              <w:rPr>
                <w:rFonts w:ascii="Verdana" w:hAnsi="Verdana" w:cs="Verdana"/>
                <w:lang w:val="pl-PL"/>
              </w:rPr>
            </w:pPr>
            <w:r>
              <w:rPr>
                <w:rFonts w:ascii="Verdana" w:hAnsi="Verdana" w:cs="Verdana"/>
                <w:lang w:val="pl-PL"/>
              </w:rPr>
              <w:t>Muchobór Mały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12/4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zwiększono obszar zajęcia o dodatkowe 0,0397 ha (397 m</w:t>
            </w:r>
            <w:r>
              <w:rPr>
                <w:sz w:val="16"/>
                <w:szCs w:val="16"/>
                <w:vertAlign w:val="superscript"/>
                <w:lang w:val="pl-PL"/>
              </w:rPr>
              <w:t>2</w:t>
            </w:r>
            <w:r>
              <w:rPr>
                <w:sz w:val="16"/>
                <w:szCs w:val="16"/>
                <w:lang w:val="pl-PL"/>
              </w:rPr>
              <w:t xml:space="preserve">)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</w:tbl>
    <w:p w:rsidR="00D24193" w:rsidRDefault="00D24193">
      <w:pPr>
        <w:ind w:left="720"/>
        <w:rPr>
          <w:sz w:val="16"/>
          <w:szCs w:val="16"/>
          <w:lang w:val="pl-PL"/>
        </w:rPr>
      </w:pPr>
    </w:p>
    <w:p w:rsidR="00D24193" w:rsidRDefault="00D24193">
      <w:pPr>
        <w:pStyle w:val="BodyText2"/>
        <w:numPr>
          <w:ilvl w:val="0"/>
          <w:numId w:val="38"/>
        </w:numPr>
        <w:ind w:left="397" w:hanging="397"/>
        <w:jc w:val="both"/>
        <w:rPr>
          <w:color w:val="auto"/>
        </w:rPr>
      </w:pPr>
      <w:r>
        <w:rPr>
          <w:b/>
          <w:bCs/>
          <w:color w:val="auto"/>
        </w:rPr>
        <w:t>nałożenia dodatkowych ograniczeń w korzystaniu z nieruchomości</w:t>
      </w:r>
      <w:r>
        <w:rPr>
          <w:color w:val="auto"/>
        </w:rPr>
        <w:t xml:space="preserve"> przez udzielenie zezwolenia na wykonanie obowiązków wymienionych w art. 11f ust. 1 pkt 8 lit. b-c, e-h ustawy o szczególnych zasadach przygotowania i realizacji inwestycji w zakresie dróg publicznych:</w:t>
      </w:r>
    </w:p>
    <w:p w:rsidR="00D24193" w:rsidRDefault="00D24193">
      <w:pPr>
        <w:pStyle w:val="BodyText2"/>
        <w:rPr>
          <w:b/>
          <w:bCs/>
          <w:color w:val="auto"/>
        </w:rPr>
      </w:pPr>
    </w:p>
    <w:tbl>
      <w:tblPr>
        <w:tblW w:w="885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9"/>
        <w:gridCol w:w="1189"/>
        <w:gridCol w:w="423"/>
        <w:gridCol w:w="1615"/>
        <w:gridCol w:w="2551"/>
        <w:gridCol w:w="2552"/>
      </w:tblGrid>
      <w:tr w:rsidR="00D24193">
        <w:trPr>
          <w:cantSplit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pStyle w:val="BalloonText"/>
              <w:rPr>
                <w:rFonts w:ascii="Verdana" w:hAnsi="Verdana" w:cs="Verdana"/>
                <w:lang w:val="de-DE"/>
              </w:rPr>
            </w:pPr>
            <w:r>
              <w:rPr>
                <w:rFonts w:ascii="Verdana" w:hAnsi="Verdana" w:cs="Verdana"/>
                <w:lang w:val="de-DE"/>
              </w:rPr>
              <w:t>Lp.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Obręb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>AM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Numer działki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Powierzchnia zajęcia [ha]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pStyle w:val="12Zwyrazamiszacunku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Zakres zmian</w:t>
            </w:r>
          </w:p>
        </w:tc>
      </w:tr>
      <w:tr w:rsidR="00D24193">
        <w:trPr>
          <w:cantSplit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widowControl/>
              <w:numPr>
                <w:ilvl w:val="0"/>
                <w:numId w:val="40"/>
              </w:numPr>
              <w:tabs>
                <w:tab w:val="clear" w:pos="709"/>
              </w:tabs>
              <w:autoSpaceDE/>
              <w:autoSpaceDN/>
              <w:jc w:val="left"/>
              <w:rPr>
                <w:sz w:val="16"/>
                <w:szCs w:val="16"/>
                <w:lang w:val="pl-PL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pStyle w:val="BalloonText"/>
              <w:rPr>
                <w:rFonts w:ascii="Verdana" w:hAnsi="Verdana" w:cs="Verdana"/>
                <w:lang w:val="pl-PL"/>
              </w:rPr>
            </w:pPr>
            <w:r>
              <w:rPr>
                <w:rFonts w:ascii="Verdana" w:hAnsi="Verdana" w:cs="Verdana"/>
                <w:lang w:val="pl-PL"/>
              </w:rPr>
              <w:t>Stare Miasto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2/4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Zwiększono obszar zajęcia - łączna powierzchnia zajęcia 0,0636 ha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193" w:rsidRDefault="00D24193">
            <w:pPr>
              <w:jc w:val="left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MKT (miejskie kanały technologiczne)</w:t>
            </w:r>
          </w:p>
        </w:tc>
      </w:tr>
    </w:tbl>
    <w:p w:rsidR="00D24193" w:rsidRDefault="00D24193">
      <w:pPr>
        <w:pStyle w:val="BodyText2"/>
        <w:rPr>
          <w:b/>
          <w:bCs/>
          <w:color w:val="auto"/>
        </w:rPr>
      </w:pPr>
    </w:p>
    <w:p w:rsidR="00D24193" w:rsidRDefault="00D24193">
      <w:pPr>
        <w:pStyle w:val="BodyText2"/>
        <w:numPr>
          <w:ilvl w:val="0"/>
          <w:numId w:val="38"/>
        </w:numPr>
        <w:ind w:left="397" w:hanging="397"/>
        <w:jc w:val="both"/>
        <w:rPr>
          <w:color w:val="auto"/>
        </w:rPr>
      </w:pPr>
      <w:r>
        <w:rPr>
          <w:color w:val="auto"/>
        </w:rPr>
        <w:t xml:space="preserve">określenia etapowego sposobu realizacji inwestycji oraz odbioru prac - </w:t>
      </w:r>
      <w:r>
        <w:rPr>
          <w:b/>
          <w:bCs/>
          <w:color w:val="auto"/>
        </w:rPr>
        <w:t>etapy I-VI</w:t>
      </w:r>
      <w:r>
        <w:rPr>
          <w:color w:val="auto"/>
        </w:rPr>
        <w:t>,</w:t>
      </w:r>
    </w:p>
    <w:p w:rsidR="00D24193" w:rsidRDefault="00D24193">
      <w:pPr>
        <w:jc w:val="center"/>
        <w:rPr>
          <w:b/>
          <w:bCs/>
          <w:sz w:val="16"/>
          <w:szCs w:val="16"/>
          <w:lang w:val="pl-PL"/>
        </w:rPr>
      </w:pPr>
    </w:p>
    <w:p w:rsidR="00D24193" w:rsidRDefault="00D24193">
      <w:pPr>
        <w:rPr>
          <w:b/>
          <w:bCs/>
          <w:sz w:val="16"/>
          <w:szCs w:val="16"/>
          <w:lang w:val="pl-PL"/>
        </w:rPr>
      </w:pPr>
      <w:r>
        <w:rPr>
          <w:b/>
          <w:bCs/>
          <w:sz w:val="16"/>
          <w:szCs w:val="16"/>
          <w:lang w:val="pl-PL"/>
        </w:rPr>
        <w:t>której to decyzji nadano rygor natychmiastowej wykonalności.</w:t>
      </w:r>
    </w:p>
    <w:p w:rsidR="00D24193" w:rsidRDefault="00D24193">
      <w:pPr>
        <w:rPr>
          <w:sz w:val="16"/>
          <w:szCs w:val="16"/>
          <w:lang w:val="pl-PL"/>
        </w:rPr>
      </w:pPr>
    </w:p>
    <w:p w:rsidR="00D24193" w:rsidRDefault="00D24193">
      <w:pPr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Zgodnie z art. 49 § 2 Kodeksu postępowania administracyjnego, wskazuje się dzień 18.03.2022 r., jako ten w którym nastąpiło publiczne obwieszczenie na tablicy ogłoszeń Urzędu Miejskiego Wrocławia oraz w Biuletynie Informacji Publicznej urzędu. Zawiadomienie niniejsze uważa się za dokonane po upływie czternastu dni od wskazanego powyżej terminu.</w:t>
      </w:r>
    </w:p>
    <w:p w:rsidR="00D24193" w:rsidRDefault="00D24193">
      <w:pPr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Z treścią decyzji oraz aktami sprawy, można zapoznać się w Informacji Wydziału Architektury </w:t>
      </w:r>
      <w:r>
        <w:rPr>
          <w:sz w:val="16"/>
          <w:szCs w:val="16"/>
          <w:lang w:val="pl-PL"/>
        </w:rPr>
        <w:br/>
        <w:t>i Zabytków Urzędu Miejskiego Wrocławia (pl. Nowy Targ 1-8, parter, pok. 1c stanowisko 5, 6 i 7, godz. 8:00-15:00). Ze względów organizacyjnych należy zawiadomić tut. Wydział z co najmniej jednodniowym wyprzedzeniem - o zamiarze zapoznania się z dokumentami (tel. +48 71 777 77 77), co usprawni realizację przysługującego stronie uprawnienia.</w:t>
      </w:r>
    </w:p>
    <w:p w:rsidR="00D24193" w:rsidRDefault="00D24193">
      <w:pPr>
        <w:rPr>
          <w:sz w:val="16"/>
          <w:szCs w:val="16"/>
        </w:rPr>
      </w:pPr>
      <w:r>
        <w:rPr>
          <w:sz w:val="16"/>
          <w:szCs w:val="16"/>
          <w:lang w:val="pl-PL"/>
        </w:rPr>
        <w:t xml:space="preserve">W okresie ogłoszonego na obszarze Rzeczypospolitej Polskiej stanu epidemii (lub zagrożenia epidemicznego), należy na bieżąco zapoznawać się z komunikatami o zasadach i godzinach funkcjonowania urzędu umieszczanymi na stronach internetowych urzędu: </w:t>
      </w:r>
      <w:hyperlink r:id="rId7" w:history="1">
        <w:r>
          <w:rPr>
            <w:rStyle w:val="Hyperlink"/>
            <w:rFonts w:ascii="Verdana" w:hAnsi="Verdana" w:cs="Verdana"/>
            <w:color w:val="auto"/>
            <w:sz w:val="16"/>
            <w:szCs w:val="16"/>
            <w:lang w:val="pl-PL"/>
          </w:rPr>
          <w:t>https://bip.um.wroc.pl</w:t>
        </w:r>
      </w:hyperlink>
      <w:r>
        <w:rPr>
          <w:sz w:val="16"/>
          <w:szCs w:val="16"/>
          <w:lang w:val="pl-PL"/>
        </w:rPr>
        <w:t xml:space="preserve"> oraz </w:t>
      </w:r>
      <w:hyperlink r:id="rId8" w:history="1">
        <w:r>
          <w:rPr>
            <w:rStyle w:val="Hyperlink"/>
            <w:rFonts w:ascii="Verdana" w:hAnsi="Verdana" w:cs="Verdana"/>
            <w:color w:val="auto"/>
            <w:sz w:val="16"/>
            <w:szCs w:val="16"/>
            <w:lang w:val="pl-PL"/>
          </w:rPr>
          <w:t>www.wroclaw.pl</w:t>
        </w:r>
      </w:hyperlink>
      <w:r>
        <w:rPr>
          <w:sz w:val="16"/>
          <w:szCs w:val="16"/>
          <w:lang w:val="pl-PL"/>
        </w:rPr>
        <w:t xml:space="preserve"> lub telefonicznie pod nr tel. </w:t>
      </w:r>
      <w:r>
        <w:rPr>
          <w:sz w:val="16"/>
          <w:szCs w:val="16"/>
        </w:rPr>
        <w:t>+48 71 777 77 77.</w:t>
      </w:r>
    </w:p>
    <w:p w:rsidR="00D24193" w:rsidRDefault="00D24193">
      <w:pPr>
        <w:rPr>
          <w:sz w:val="16"/>
          <w:szCs w:val="16"/>
        </w:rPr>
      </w:pPr>
      <w:r>
        <w:rPr>
          <w:sz w:val="16"/>
          <w:szCs w:val="16"/>
        </w:rPr>
        <w:t>__________________________________</w:t>
      </w:r>
    </w:p>
    <w:p w:rsidR="00D24193" w:rsidRDefault="00D24193">
      <w:pPr>
        <w:rPr>
          <w:sz w:val="16"/>
          <w:szCs w:val="16"/>
          <w:lang w:val="pl-PL"/>
        </w:rPr>
      </w:pPr>
      <w:r>
        <w:rPr>
          <w:sz w:val="16"/>
          <w:szCs w:val="16"/>
        </w:rPr>
        <w:t xml:space="preserve">D-ZRID-10983-2021-pl. </w:t>
      </w:r>
      <w:r>
        <w:rPr>
          <w:sz w:val="16"/>
          <w:szCs w:val="16"/>
          <w:lang w:val="pl-PL"/>
        </w:rPr>
        <w:t>Orląt Lwowskich, ul. Robotnicza, Strzegomska, Rogowska (TAT)-zmiana</w:t>
      </w:r>
    </w:p>
    <w:p w:rsidR="00D24193" w:rsidRDefault="00D24193">
      <w:pPr>
        <w:rPr>
          <w:sz w:val="16"/>
          <w:szCs w:val="16"/>
          <w:lang w:val="pl-PL"/>
        </w:rPr>
      </w:pPr>
    </w:p>
    <w:p w:rsidR="00D24193" w:rsidRDefault="00D24193">
      <w:pPr>
        <w:pStyle w:val="Heading1"/>
        <w:rPr>
          <w:i w:val="0"/>
          <w:iCs w:val="0"/>
        </w:rPr>
      </w:pPr>
      <w:r>
        <w:rPr>
          <w:i w:val="0"/>
          <w:iCs w:val="0"/>
        </w:rPr>
        <w:t>Z up. PREZYDENTA</w:t>
      </w:r>
    </w:p>
    <w:p w:rsidR="00D24193" w:rsidRDefault="00D24193">
      <w:pPr>
        <w:jc w:val="center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 Małgorzata Jordan</w:t>
      </w:r>
    </w:p>
    <w:p w:rsidR="00D24193" w:rsidRDefault="00D24193">
      <w:pPr>
        <w:jc w:val="center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ZASTĘPCA DYREKTORA WYDZIAŁU</w:t>
      </w:r>
    </w:p>
    <w:p w:rsidR="00D24193" w:rsidRDefault="00D24193">
      <w:pPr>
        <w:jc w:val="center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ARCHITEKTURY I ZABYTKÓW</w:t>
      </w:r>
    </w:p>
    <w:sectPr w:rsidR="00D24193" w:rsidSect="00D24193">
      <w:footerReference w:type="default" r:id="rId9"/>
      <w:headerReference w:type="first" r:id="rId10"/>
      <w:footerReference w:type="first" r:id="rId11"/>
      <w:pgSz w:w="11906" w:h="16838" w:code="9"/>
      <w:pgMar w:top="1247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193" w:rsidRDefault="00D24193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D24193" w:rsidRDefault="00D24193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193" w:rsidRDefault="00D24193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193" w:rsidRDefault="00D24193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193" w:rsidRDefault="00D24193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D24193" w:rsidRDefault="00D24193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193" w:rsidRDefault="00D24193">
    <w:pPr>
      <w:pStyle w:val="Header"/>
      <w:jc w:val="center"/>
      <w:rPr>
        <w:b/>
        <w:bCs/>
        <w:sz w:val="28"/>
        <w:szCs w:val="28"/>
        <w:lang w:val="pl-PL"/>
      </w:rPr>
    </w:pPr>
    <w:r>
      <w:rPr>
        <w:b/>
        <w:bCs/>
        <w:sz w:val="28"/>
        <w:szCs w:val="28"/>
        <w:lang w:val="pl-PL"/>
      </w:rPr>
      <w:t>OBWIESZCZENIE PREZYDENTA WROCŁAWIA</w:t>
    </w:r>
  </w:p>
  <w:p w:rsidR="00D24193" w:rsidRDefault="00D24193">
    <w:pPr>
      <w:jc w:val="center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651084"/>
    <w:multiLevelType w:val="hybridMultilevel"/>
    <w:tmpl w:val="9CDE58C2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7EA3403"/>
    <w:multiLevelType w:val="hybridMultilevel"/>
    <w:tmpl w:val="E56E6944"/>
    <w:lvl w:ilvl="0" w:tplc="B728F306">
      <w:start w:val="1"/>
      <w:numFmt w:val="decimal"/>
      <w:lvlText w:val="%1."/>
      <w:lvlJc w:val="left"/>
      <w:pPr>
        <w:ind w:left="644" w:hanging="36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szCs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225C622F"/>
    <w:multiLevelType w:val="hybridMultilevel"/>
    <w:tmpl w:val="87BA808A"/>
    <w:lvl w:ilvl="0" w:tplc="30FCA76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252115E8"/>
    <w:multiLevelType w:val="hybridMultilevel"/>
    <w:tmpl w:val="4530A7B6"/>
    <w:lvl w:ilvl="0" w:tplc="AE487B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7">
    <w:nsid w:val="25B1265B"/>
    <w:multiLevelType w:val="hybridMultilevel"/>
    <w:tmpl w:val="3A265252"/>
    <w:lvl w:ilvl="0" w:tplc="7922A7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27AF2815"/>
    <w:multiLevelType w:val="hybridMultilevel"/>
    <w:tmpl w:val="B7804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7E07C6C"/>
    <w:multiLevelType w:val="hybridMultilevel"/>
    <w:tmpl w:val="3F90E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8131C92"/>
    <w:multiLevelType w:val="hybridMultilevel"/>
    <w:tmpl w:val="E698F7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284B7D7A"/>
    <w:multiLevelType w:val="hybridMultilevel"/>
    <w:tmpl w:val="0734CABC"/>
    <w:lvl w:ilvl="0" w:tplc="AE487B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2">
    <w:nsid w:val="29654C5C"/>
    <w:multiLevelType w:val="hybridMultilevel"/>
    <w:tmpl w:val="75583CA0"/>
    <w:lvl w:ilvl="0" w:tplc="C5B671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3">
    <w:nsid w:val="2A1770D1"/>
    <w:multiLevelType w:val="hybridMultilevel"/>
    <w:tmpl w:val="BE36C2EC"/>
    <w:lvl w:ilvl="0" w:tplc="3CACEE22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szCs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2BB623B7"/>
    <w:multiLevelType w:val="hybridMultilevel"/>
    <w:tmpl w:val="C94875B6"/>
    <w:lvl w:ilvl="0" w:tplc="9338583C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szCs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2E4F4C85"/>
    <w:multiLevelType w:val="hybridMultilevel"/>
    <w:tmpl w:val="C1160168"/>
    <w:lvl w:ilvl="0" w:tplc="428E95A4">
      <w:start w:val="1"/>
      <w:numFmt w:val="decimal"/>
      <w:lvlText w:val="%1."/>
      <w:lvlJc w:val="left"/>
      <w:pPr>
        <w:ind w:left="644" w:hanging="36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szCs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30352AFC"/>
    <w:multiLevelType w:val="hybridMultilevel"/>
    <w:tmpl w:val="9940CAE8"/>
    <w:lvl w:ilvl="0" w:tplc="AE487B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E0802B9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Verdana" w:hAnsi="Verdana" w:cs="Verdana" w:hint="default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32BB6F37"/>
    <w:multiLevelType w:val="hybridMultilevel"/>
    <w:tmpl w:val="B76AFC0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5553B91"/>
    <w:multiLevelType w:val="hybridMultilevel"/>
    <w:tmpl w:val="C786F126"/>
    <w:lvl w:ilvl="0" w:tplc="8002725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0">
    <w:nsid w:val="362B5954"/>
    <w:multiLevelType w:val="hybridMultilevel"/>
    <w:tmpl w:val="59C0A55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3933281F"/>
    <w:multiLevelType w:val="hybridMultilevel"/>
    <w:tmpl w:val="E468EA48"/>
    <w:lvl w:ilvl="0" w:tplc="F580FA4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3DC7391B"/>
    <w:multiLevelType w:val="hybridMultilevel"/>
    <w:tmpl w:val="F6D62728"/>
    <w:lvl w:ilvl="0" w:tplc="991AE3E0">
      <w:start w:val="1"/>
      <w:numFmt w:val="bullet"/>
      <w:lvlText w:val="‒"/>
      <w:lvlJc w:val="left"/>
      <w:pPr>
        <w:ind w:left="720" w:hanging="360"/>
      </w:pPr>
      <w:rPr>
        <w:rFonts w:ascii="Verdana" w:hAnsi="Verdana" w:cs="Verdana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0F54028"/>
    <w:multiLevelType w:val="hybridMultilevel"/>
    <w:tmpl w:val="F9BE9D36"/>
    <w:lvl w:ilvl="0" w:tplc="A5E6EE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CF62C74"/>
    <w:multiLevelType w:val="hybridMultilevel"/>
    <w:tmpl w:val="2C3EB714"/>
    <w:lvl w:ilvl="0" w:tplc="C228F07E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szCs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>
    <w:nsid w:val="50FF05A7"/>
    <w:multiLevelType w:val="hybridMultilevel"/>
    <w:tmpl w:val="2F14590A"/>
    <w:lvl w:ilvl="0" w:tplc="786AFC7A">
      <w:start w:val="1"/>
      <w:numFmt w:val="decimal"/>
      <w:lvlText w:val="%1."/>
      <w:lvlJc w:val="left"/>
      <w:pPr>
        <w:ind w:left="572" w:hanging="36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18"/>
        <w:szCs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>
    <w:nsid w:val="54EA5EEB"/>
    <w:multiLevelType w:val="hybridMultilevel"/>
    <w:tmpl w:val="2F00601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5BCA105E"/>
    <w:multiLevelType w:val="hybridMultilevel"/>
    <w:tmpl w:val="C87CC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5C8F1CA6"/>
    <w:multiLevelType w:val="hybridMultilevel"/>
    <w:tmpl w:val="848EDEEE"/>
    <w:lvl w:ilvl="0" w:tplc="E7787B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1">
    <w:nsid w:val="64C94A77"/>
    <w:multiLevelType w:val="hybridMultilevel"/>
    <w:tmpl w:val="E8B4D4C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69534FEB"/>
    <w:multiLevelType w:val="hybridMultilevel"/>
    <w:tmpl w:val="7660B774"/>
    <w:lvl w:ilvl="0" w:tplc="332201A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>
    <w:nsid w:val="6A743EC0"/>
    <w:multiLevelType w:val="hybridMultilevel"/>
    <w:tmpl w:val="09EE2C28"/>
    <w:lvl w:ilvl="0" w:tplc="8E2A5D28">
      <w:start w:val="1"/>
      <w:numFmt w:val="lowerLetter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4">
    <w:nsid w:val="71941930"/>
    <w:multiLevelType w:val="hybridMultilevel"/>
    <w:tmpl w:val="DC320DF6"/>
    <w:lvl w:ilvl="0" w:tplc="88CA4E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5">
    <w:nsid w:val="75424939"/>
    <w:multiLevelType w:val="hybridMultilevel"/>
    <w:tmpl w:val="ACF6F4C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6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7">
    <w:nsid w:val="77670F10"/>
    <w:multiLevelType w:val="hybridMultilevel"/>
    <w:tmpl w:val="34B46A2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7AEE5C73"/>
    <w:multiLevelType w:val="multilevel"/>
    <w:tmpl w:val="9DD6B9D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</w:rPr>
    </w:lvl>
    <w:lvl w:ilvl="1">
      <w:start w:val="2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36"/>
  </w:num>
  <w:num w:numId="3">
    <w:abstractNumId w:val="3"/>
  </w:num>
  <w:num w:numId="4">
    <w:abstractNumId w:val="2"/>
  </w:num>
  <w:num w:numId="5">
    <w:abstractNumId w:val="25"/>
  </w:num>
  <w:num w:numId="6">
    <w:abstractNumId w:val="0"/>
  </w:num>
  <w:num w:numId="7">
    <w:abstractNumId w:val="5"/>
  </w:num>
  <w:num w:numId="8">
    <w:abstractNumId w:val="37"/>
  </w:num>
  <w:num w:numId="9">
    <w:abstractNumId w:val="1"/>
  </w:num>
  <w:num w:numId="10">
    <w:abstractNumId w:val="17"/>
  </w:num>
  <w:num w:numId="11">
    <w:abstractNumId w:val="9"/>
  </w:num>
  <w:num w:numId="12">
    <w:abstractNumId w:val="28"/>
  </w:num>
  <w:num w:numId="13">
    <w:abstractNumId w:val="31"/>
  </w:num>
  <w:num w:numId="14">
    <w:abstractNumId w:val="20"/>
  </w:num>
  <w:num w:numId="15">
    <w:abstractNumId w:val="18"/>
  </w:num>
  <w:num w:numId="16">
    <w:abstractNumId w:val="33"/>
  </w:num>
  <w:num w:numId="17">
    <w:abstractNumId w:val="7"/>
  </w:num>
  <w:num w:numId="18">
    <w:abstractNumId w:val="16"/>
  </w:num>
  <w:num w:numId="19">
    <w:abstractNumId w:val="24"/>
  </w:num>
  <w:num w:numId="20">
    <w:abstractNumId w:val="30"/>
  </w:num>
  <w:num w:numId="21">
    <w:abstractNumId w:val="27"/>
  </w:num>
  <w:num w:numId="22">
    <w:abstractNumId w:val="4"/>
  </w:num>
  <w:num w:numId="23">
    <w:abstractNumId w:val="14"/>
  </w:num>
  <w:num w:numId="24">
    <w:abstractNumId w:val="26"/>
  </w:num>
  <w:num w:numId="25">
    <w:abstractNumId w:val="13"/>
  </w:num>
  <w:num w:numId="26">
    <w:abstractNumId w:val="15"/>
  </w:num>
  <w:num w:numId="27">
    <w:abstractNumId w:val="8"/>
  </w:num>
  <w:num w:numId="28">
    <w:abstractNumId w:val="23"/>
  </w:num>
  <w:num w:numId="29">
    <w:abstractNumId w:val="38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32"/>
  </w:num>
  <w:num w:numId="39">
    <w:abstractNumId w:val="34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4193"/>
    <w:rsid w:val="00D24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i/>
      <w:iCs/>
      <w:sz w:val="16"/>
      <w:szCs w:val="16"/>
      <w:lang w:val="pl-PL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widowControl/>
      <w:tabs>
        <w:tab w:val="clear" w:pos="709"/>
      </w:tabs>
      <w:autoSpaceDE/>
      <w:autoSpaceDN/>
      <w:spacing w:before="180"/>
    </w:pPr>
    <w:rPr>
      <w:lang w:val="pl-PL" w:eastAsia="pl-PL"/>
    </w:rPr>
  </w:style>
  <w:style w:type="paragraph" w:styleId="BodyText2">
    <w:name w:val="Body Text 2"/>
    <w:basedOn w:val="Normal"/>
    <w:link w:val="BodyText2Char"/>
    <w:uiPriority w:val="99"/>
    <w:pPr>
      <w:widowControl/>
      <w:tabs>
        <w:tab w:val="clear" w:pos="709"/>
      </w:tabs>
      <w:autoSpaceDE/>
      <w:autoSpaceDN/>
      <w:jc w:val="left"/>
    </w:pPr>
    <w:rPr>
      <w:color w:val="0000FF"/>
      <w:sz w:val="16"/>
      <w:szCs w:val="16"/>
      <w:lang w:val="pl-PL" w:eastAsia="pl-PL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color w:val="0000FF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widowControl/>
      <w:tabs>
        <w:tab w:val="clear" w:pos="709"/>
      </w:tabs>
      <w:autoSpaceDE/>
      <w:autoSpaceDN/>
      <w:ind w:firstLine="709"/>
    </w:pPr>
    <w:rPr>
      <w:sz w:val="24"/>
      <w:szCs w:val="24"/>
      <w:lang w:val="pl-PL" w:eastAsia="pl-P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4"/>
      <w:szCs w:val="24"/>
    </w:rPr>
  </w:style>
  <w:style w:type="paragraph" w:customStyle="1" w:styleId="12Zwyrazamiszacunku">
    <w:name w:val="@12.Z_wyrazami_szacunku"/>
    <w:basedOn w:val="Normal"/>
    <w:next w:val="Normal"/>
    <w:uiPriority w:val="99"/>
    <w:pPr>
      <w:widowControl/>
      <w:tabs>
        <w:tab w:val="clear" w:pos="709"/>
      </w:tabs>
      <w:autoSpaceDE/>
      <w:autoSpaceDN/>
      <w:spacing w:before="360"/>
      <w:jc w:val="left"/>
    </w:pPr>
    <w:rPr>
      <w:lang w:val="pl-PL" w:eastAsia="pl-PL"/>
    </w:r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styleId="ListParagraph">
    <w:name w:val="List Paragraph"/>
    <w:aliases w:val="BulletC,Obiekt,List Paragraph1,test ciągły"/>
    <w:basedOn w:val="Normal"/>
    <w:uiPriority w:val="99"/>
    <w:qFormat/>
    <w:pPr>
      <w:widowControl/>
      <w:tabs>
        <w:tab w:val="clear" w:pos="709"/>
      </w:tabs>
      <w:autoSpaceDE/>
      <w:autoSpaceDN/>
      <w:spacing w:after="200" w:line="276" w:lineRule="auto"/>
      <w:ind w:left="720"/>
      <w:jc w:val="left"/>
    </w:pPr>
    <w:rPr>
      <w:rFonts w:ascii="Arial Narrow" w:hAnsi="Arial Narrow" w:cs="Arial Narrow"/>
      <w:sz w:val="22"/>
      <w:szCs w:val="22"/>
      <w:lang w:val="pl-PL"/>
    </w:rPr>
  </w:style>
  <w:style w:type="character" w:customStyle="1" w:styleId="ListParagraphChar">
    <w:name w:val="List Paragraph Char"/>
    <w:aliases w:val="BulletC Char,Obiekt Char,List Paragraph1 Char,test ciągły Char"/>
    <w:basedOn w:val="DefaultParagraphFont"/>
    <w:uiPriority w:val="99"/>
    <w:rPr>
      <w:rFonts w:ascii="Arial Narrow" w:hAnsi="Arial Narrow" w:cs="Arial Narrow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%23%23%23\www.wrocl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4</Pages>
  <Words>2021</Words>
  <Characters>11521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decyzja oś</dc:subject>
  <dc:creator>Anna Haładewicz</dc:creator>
  <cp:keywords/>
  <dc:description/>
  <cp:lastModifiedBy>umdabi01</cp:lastModifiedBy>
  <cp:revision>4</cp:revision>
  <cp:lastPrinted>2022-03-11T11:12:00Z</cp:lastPrinted>
  <dcterms:created xsi:type="dcterms:W3CDTF">2022-03-11T11:13:00Z</dcterms:created>
  <dcterms:modified xsi:type="dcterms:W3CDTF">2022-03-15T12:34:00Z</dcterms:modified>
</cp:coreProperties>
</file>