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:rsidR="00AA0133" w:rsidRPr="00AA0133" w:rsidRDefault="00AA0133" w:rsidP="00AA0133">
      <w:pPr>
        <w:rPr>
          <w:lang w:eastAsia="pl-PL"/>
        </w:rPr>
      </w:pPr>
    </w:p>
    <w:p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>podstawie Zarządzenia nr 5740/21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z dnia 23 lipca 2021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4961"/>
        <w:gridCol w:w="3161"/>
      </w:tblGrid>
      <w:tr w:rsidR="00394B42" w:rsidRPr="002408A7" w:rsidTr="0069738C">
        <w:trPr>
          <w:trHeight w:val="440"/>
          <w:tblHeader/>
        </w:trPr>
        <w:tc>
          <w:tcPr>
            <w:tcW w:w="540" w:type="dxa"/>
            <w:vAlign w:val="center"/>
          </w:tcPr>
          <w:p w:rsidR="00394B42" w:rsidRPr="002408A7" w:rsidRDefault="00394B42" w:rsidP="00DA65F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394B42" w:rsidRPr="002408A7" w:rsidRDefault="00394B42" w:rsidP="00DA65F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4961" w:type="dxa"/>
            <w:vAlign w:val="center"/>
          </w:tcPr>
          <w:p w:rsidR="00394B42" w:rsidRPr="002408A7" w:rsidRDefault="00394B42" w:rsidP="00DA65F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08A7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161" w:type="dxa"/>
            <w:vAlign w:val="center"/>
          </w:tcPr>
          <w:p w:rsidR="00394B42" w:rsidRPr="002408A7" w:rsidRDefault="00394B42" w:rsidP="00DA65FE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408A7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394B42" w:rsidRPr="00394B42" w:rsidTr="00AA0133">
        <w:trPr>
          <w:trHeight w:val="680"/>
        </w:trPr>
        <w:tc>
          <w:tcPr>
            <w:tcW w:w="540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:rsidR="00394B42" w:rsidRPr="00394B42" w:rsidRDefault="00394B42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 xml:space="preserve">ul. Bolesława Krzywoustego u zbiegu </w:t>
            </w:r>
          </w:p>
          <w:p w:rsidR="00394B42" w:rsidRPr="00394B42" w:rsidRDefault="00394B42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Bora-Komorowskiego</w:t>
            </w:r>
          </w:p>
        </w:tc>
        <w:tc>
          <w:tcPr>
            <w:tcW w:w="3161" w:type="dxa"/>
            <w:vAlign w:val="center"/>
          </w:tcPr>
          <w:p w:rsidR="00394B42" w:rsidRPr="00394B42" w:rsidRDefault="00394B42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394B42" w:rsidRPr="00394B42" w:rsidTr="00AA0133">
        <w:trPr>
          <w:trHeight w:val="680"/>
        </w:trPr>
        <w:tc>
          <w:tcPr>
            <w:tcW w:w="540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:rsidR="00394B42" w:rsidRPr="00394B42" w:rsidRDefault="00394B42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Skarbowców róg ul. Sowiej</w:t>
            </w:r>
          </w:p>
        </w:tc>
        <w:tc>
          <w:tcPr>
            <w:tcW w:w="3161" w:type="dxa"/>
            <w:vAlign w:val="center"/>
          </w:tcPr>
          <w:p w:rsidR="00394B42" w:rsidRPr="00394B42" w:rsidRDefault="00394B42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394B42" w:rsidRPr="00394B42" w:rsidTr="00AA0133">
        <w:trPr>
          <w:trHeight w:val="680"/>
        </w:trPr>
        <w:tc>
          <w:tcPr>
            <w:tcW w:w="540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:rsidR="00394B42" w:rsidRPr="00394B42" w:rsidRDefault="00394B42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Południowo – wschodnia część pl. Bohaterów Getta – ściana szczytowa budynku przy ul. Szajnochy nr 7-9</w:t>
            </w:r>
          </w:p>
        </w:tc>
        <w:tc>
          <w:tcPr>
            <w:tcW w:w="3161" w:type="dxa"/>
            <w:vAlign w:val="center"/>
          </w:tcPr>
          <w:p w:rsidR="00394B42" w:rsidRPr="00394B42" w:rsidRDefault="00394B42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394B42" w:rsidRPr="00394B42" w:rsidTr="00AA0133">
        <w:trPr>
          <w:trHeight w:val="680"/>
        </w:trPr>
        <w:tc>
          <w:tcPr>
            <w:tcW w:w="540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394B42" w:rsidRPr="00394B42" w:rsidRDefault="00394B42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:rsidR="00394B42" w:rsidRPr="00394B42" w:rsidRDefault="00394B42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Ściany szczytowe budynków przy ulicach  Kazimierza Wielkiego nr 9 i  Ruskiej nr 51</w:t>
            </w:r>
          </w:p>
        </w:tc>
        <w:tc>
          <w:tcPr>
            <w:tcW w:w="3161" w:type="dxa"/>
            <w:vAlign w:val="center"/>
          </w:tcPr>
          <w:p w:rsidR="00394B42" w:rsidRPr="00394B42" w:rsidRDefault="00394B42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EE7C88" w:rsidRPr="00EE7C88" w:rsidRDefault="00EE7C88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961" w:type="dxa"/>
            <w:vAlign w:val="center"/>
          </w:tcPr>
          <w:p w:rsidR="00EE7C88" w:rsidRPr="00EE7C88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Zachodnia strona ul. Świdnickiej na odcinku pomiędzy ulicą P</w:t>
            </w:r>
            <w:r w:rsidR="00DB604C">
              <w:rPr>
                <w:rFonts w:ascii="Verdana" w:hAnsi="Verdana"/>
                <w:sz w:val="20"/>
                <w:szCs w:val="20"/>
              </w:rPr>
              <w:t>odwale i Promenadą Staromiejską</w:t>
            </w:r>
          </w:p>
        </w:tc>
        <w:tc>
          <w:tcPr>
            <w:tcW w:w="3161" w:type="dxa"/>
            <w:vAlign w:val="center"/>
          </w:tcPr>
          <w:p w:rsidR="00EE7C88" w:rsidRPr="00EE7C88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EE7C88" w:rsidRPr="00EE7C88" w:rsidRDefault="00EE7C88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961" w:type="dxa"/>
            <w:vAlign w:val="center"/>
          </w:tcPr>
          <w:p w:rsidR="00EE7C88" w:rsidRPr="00EE7C88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Zachodnia strona ul. Kuźniczej na odcinku pomiędzy</w:t>
            </w:r>
            <w:r w:rsidR="00DB604C">
              <w:rPr>
                <w:rFonts w:ascii="Verdana" w:hAnsi="Verdana"/>
                <w:sz w:val="20"/>
                <w:szCs w:val="20"/>
              </w:rPr>
              <w:t xml:space="preserve"> ulicami Nożowniczą i Kotlarską</w:t>
            </w:r>
          </w:p>
        </w:tc>
        <w:tc>
          <w:tcPr>
            <w:tcW w:w="3161" w:type="dxa"/>
            <w:vAlign w:val="center"/>
          </w:tcPr>
          <w:p w:rsidR="00EE7C88" w:rsidRPr="00EE7C88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pl. Kościuszki – północno – wschodnia część skweru wzdłuż ulicy Świdnickiej po stronie Renomy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Średzka – naprzeciwko DK „ZAMEK”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Trzebnicka 68 róg ul. Kraszewskiego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Polarna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pl. Św. Macieja róg ul. Paulińskiej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6B3D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Legnicka róg</w:t>
            </w:r>
            <w:r w:rsidR="00AA013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4B42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394B42">
              <w:rPr>
                <w:rFonts w:ascii="Verdana" w:hAnsi="Verdana"/>
                <w:sz w:val="20"/>
                <w:szCs w:val="20"/>
              </w:rPr>
              <w:t>Nabycińskiej</w:t>
            </w:r>
            <w:proofErr w:type="spellEnd"/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13.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Zakładowa 5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14.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Legnicka – od ul. Rybackiej, obok kładki pieszych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Zachodnia róg  ul. Słubickiej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16.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88, 89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Legnicka 64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17.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 xml:space="preserve">ul. Pilczycka róg ul. Górniczej 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18.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Grabiszyńska nr 240 róg ul. Hallera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19.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Sudecka 90 róg ul. Sztabowej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20.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94B42">
              <w:rPr>
                <w:rFonts w:ascii="Verdana" w:hAnsi="Verdana"/>
                <w:sz w:val="20"/>
                <w:szCs w:val="20"/>
              </w:rPr>
              <w:t>ul. Kołłątaja 27 róg ul. Kościuszki 52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4B42">
              <w:rPr>
                <w:rFonts w:ascii="Verdana" w:hAnsi="Verdana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EE15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21.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DA65F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ul. Górnickiego róg ul. Prusa – obok Lotto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4B42">
              <w:rPr>
                <w:rFonts w:ascii="Verdana" w:hAnsi="Verdana" w:cs="Arial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22.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E7C88" w:rsidRPr="00394B42" w:rsidRDefault="00EE7C88" w:rsidP="00DA65FE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ul. Łokietka róg ul. Drobnera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4B42">
              <w:rPr>
                <w:rFonts w:ascii="Verdana" w:hAnsi="Verdana" w:cs="Arial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96</w:t>
            </w:r>
          </w:p>
        </w:tc>
        <w:tc>
          <w:tcPr>
            <w:tcW w:w="4961" w:type="dxa"/>
            <w:vAlign w:val="center"/>
          </w:tcPr>
          <w:p w:rsidR="00EE7C88" w:rsidRPr="00394B42" w:rsidRDefault="00EE7C88" w:rsidP="005478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Arial"/>
                <w:sz w:val="20"/>
                <w:szCs w:val="20"/>
              </w:rPr>
            </w:pPr>
            <w:r w:rsidRPr="00394B42">
              <w:rPr>
                <w:rFonts w:ascii="Verdana" w:hAnsi="Verdana" w:cs="Arial"/>
                <w:sz w:val="20"/>
                <w:szCs w:val="20"/>
              </w:rPr>
              <w:t>ul. Olszewskiego 99 róg</w:t>
            </w:r>
            <w:r w:rsidR="0054783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94B42">
              <w:rPr>
                <w:rFonts w:ascii="Verdana" w:hAnsi="Verdana" w:cs="Arial"/>
                <w:sz w:val="20"/>
                <w:szCs w:val="20"/>
              </w:rPr>
              <w:t>ul. Stanisławskiego 1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DA65F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4B42">
              <w:rPr>
                <w:rFonts w:ascii="Verdana" w:hAnsi="Verdana" w:cs="Arial"/>
                <w:sz w:val="18"/>
                <w:szCs w:val="18"/>
              </w:rPr>
              <w:t>owoce sezonowe</w:t>
            </w:r>
          </w:p>
        </w:tc>
      </w:tr>
      <w:tr w:rsidR="00EE7C88" w:rsidRPr="00394B42" w:rsidTr="00AA0133">
        <w:trPr>
          <w:trHeight w:val="680"/>
        </w:trPr>
        <w:tc>
          <w:tcPr>
            <w:tcW w:w="540" w:type="dxa"/>
            <w:vAlign w:val="center"/>
          </w:tcPr>
          <w:p w:rsidR="00EE7C88" w:rsidRDefault="00EE7C88" w:rsidP="00DA65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24.</w:t>
            </w:r>
          </w:p>
        </w:tc>
        <w:tc>
          <w:tcPr>
            <w:tcW w:w="1058" w:type="dxa"/>
            <w:vAlign w:val="center"/>
          </w:tcPr>
          <w:p w:rsidR="00EE7C88" w:rsidRPr="00394B42" w:rsidRDefault="00EE7C88" w:rsidP="00A943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4961" w:type="dxa"/>
            <w:vAlign w:val="center"/>
          </w:tcPr>
          <w:p w:rsidR="00EE7C88" w:rsidRPr="00EE7C88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EE7C88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l. Kościuszki róg ul. Dworcowej</w:t>
            </w:r>
          </w:p>
        </w:tc>
        <w:tc>
          <w:tcPr>
            <w:tcW w:w="3161" w:type="dxa"/>
            <w:vAlign w:val="center"/>
          </w:tcPr>
          <w:p w:rsidR="00EE7C88" w:rsidRPr="00394B42" w:rsidRDefault="00EE7C88" w:rsidP="004F0A6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4B42">
              <w:rPr>
                <w:rFonts w:ascii="Verdana" w:hAnsi="Verdana" w:cs="Arial"/>
                <w:sz w:val="18"/>
                <w:szCs w:val="18"/>
              </w:rPr>
              <w:t>owoce sezonowe</w:t>
            </w:r>
          </w:p>
        </w:tc>
      </w:tr>
    </w:tbl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6A2C30">
        <w:rPr>
          <w:rFonts w:ascii="Verdana" w:hAnsi="Verdana"/>
          <w:b/>
          <w:bCs/>
        </w:rPr>
        <w:t>7</w:t>
      </w:r>
      <w:r w:rsidR="00C14C64" w:rsidRPr="008D73B6">
        <w:rPr>
          <w:rFonts w:ascii="Verdana" w:hAnsi="Verdana"/>
          <w:b/>
          <w:bCs/>
        </w:rPr>
        <w:t>.04.2022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(czwartek)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Pr="00DB604C">
        <w:rPr>
          <w:rFonts w:ascii="Verdana" w:hAnsi="Verdana"/>
          <w:b/>
          <w:bCs/>
        </w:rPr>
        <w:t>1.04.202</w:t>
      </w:r>
      <w:r w:rsidR="00C14C64" w:rsidRPr="00DB604C">
        <w:rPr>
          <w:rFonts w:ascii="Verdana" w:hAnsi="Verdana"/>
          <w:b/>
          <w:bCs/>
        </w:rPr>
        <w:t>2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E51C4D" w:rsidRPr="00DB604C">
        <w:rPr>
          <w:rFonts w:ascii="Verdana" w:hAnsi="Verdana"/>
          <w:b/>
          <w:bCs/>
        </w:rPr>
        <w:t>piątek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:rsidR="00394B42" w:rsidRPr="000B055D" w:rsidRDefault="0067773F" w:rsidP="000B055D">
      <w:pPr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 xml:space="preserve">Dopuszcza się wnioski zeskanowane wysyłane w formie elektronicznej, które powinny być czytelne i zapisane wyłącznie w formacie PDF jako załącznik. Nie dopuszcza się zdjęć wniosków zrobionych z telefonu komórkowego. </w:t>
      </w:r>
      <w:r w:rsidRPr="008D73B6">
        <w:rPr>
          <w:rFonts w:ascii="Verdana" w:hAnsi="Verdana"/>
          <w:bCs/>
        </w:rPr>
        <w:lastRenderedPageBreak/>
        <w:t>Każdy wniosek należy wysyłać w osobnym mailu.</w:t>
      </w:r>
      <w:r w:rsid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  <w:bCs/>
        </w:rPr>
        <w:t>W przypadku kilku wniosków wysłanych w jednym mailu wszystkie wnioski zostaną odrzucone.</w:t>
      </w:r>
      <w:r w:rsidR="00394B42" w:rsidRPr="000B055D">
        <w:rPr>
          <w:rFonts w:ascii="Verdana" w:hAnsi="Verdana"/>
        </w:rPr>
        <w:t xml:space="preserve">                                                                                                </w:t>
      </w:r>
    </w:p>
    <w:p w:rsidR="00394B42" w:rsidRPr="008D73B6" w:rsidRDefault="00394B42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Po upływie</w:t>
      </w:r>
      <w:r w:rsidR="00DB604C">
        <w:rPr>
          <w:b w:val="0"/>
          <w:bCs w:val="0"/>
        </w:rPr>
        <w:t xml:space="preserve"> terminu, o którym mowa w ust. 3</w:t>
      </w:r>
      <w:r w:rsidRPr="008D73B6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</w:p>
    <w:p w:rsidR="00394B42" w:rsidRPr="008D73B6" w:rsidRDefault="00394B42" w:rsidP="00DB604C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Przedsiębiorca może złożyć tylko jeden wniosek zgłoszeniowy uczestnictwa w losowaniu.</w:t>
      </w:r>
    </w:p>
    <w:p w:rsidR="00394B42" w:rsidRPr="000B055D" w:rsidRDefault="00394B42" w:rsidP="000B055D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Wniosek powinien zawierać m.in.: imię, nazwisko, adres, telefon kontaktowy,  e-mail, datę sporządzenia wniosku, zgodę na przetwarzanie danych osobowych, a także wybraną jedną lokalizację wraz z branżą (zgodną z ww. tabelą). Ze względu na korzystanie z programu informatyc</w:t>
      </w:r>
      <w:r w:rsidR="0082058F" w:rsidRPr="008D73B6">
        <w:rPr>
          <w:b w:val="0"/>
          <w:bCs w:val="0"/>
        </w:rPr>
        <w:t>znego,  należy podać adres e-mail we</w:t>
      </w:r>
      <w:r w:rsidRPr="008D73B6">
        <w:rPr>
          <w:b w:val="0"/>
          <w:bCs w:val="0"/>
        </w:rPr>
        <w:t xml:space="preserve"> wniosku</w:t>
      </w:r>
      <w:r w:rsidR="0082058F" w:rsidRPr="008D73B6">
        <w:rPr>
          <w:b w:val="0"/>
          <w:bCs w:val="0"/>
        </w:rPr>
        <w:t>, który</w:t>
      </w:r>
      <w:r w:rsidRPr="008D73B6">
        <w:rPr>
          <w:b w:val="0"/>
          <w:bCs w:val="0"/>
        </w:rPr>
        <w:t xml:space="preserve"> zapewnia otrzymanie automatycznej odpowiedzi z sytemu po zakończeniu losowania.</w:t>
      </w:r>
    </w:p>
    <w:p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oświadczenie, że wnioskodawca zapoznał się z regulaminem przeprowadzania losowania;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zapoznaniu się z warunkami do handlu na wybranej do losowania lokalizacji;</w:t>
      </w:r>
    </w:p>
    <w:p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:rsidR="00394B42" w:rsidRPr="006D6D49" w:rsidRDefault="00CA4E29" w:rsidP="00261F67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 xml:space="preserve">zór wniosku jest dostępny na stronie internetowej,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:rsidR="00394B42" w:rsidRPr="00DB604C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w dniach od 15 maja do 30 września 202</w:t>
      </w:r>
      <w:r w:rsidR="0082058F" w:rsidRPr="008D73B6">
        <w:t>2</w:t>
      </w:r>
      <w:r w:rsidRPr="008D73B6">
        <w:rPr>
          <w:b w:val="0"/>
          <w:bCs w:val="0"/>
        </w:rPr>
        <w:t xml:space="preserve"> </w:t>
      </w:r>
      <w:r w:rsidRPr="008D73B6">
        <w:t>r.,</w:t>
      </w:r>
      <w:r w:rsidR="00FE0E71">
        <w:t xml:space="preserve"> </w:t>
      </w:r>
      <w:r w:rsidRPr="008D73B6">
        <w:rPr>
          <w:b w:val="0"/>
          <w:bCs w:val="0"/>
        </w:rPr>
        <w:t>o których mowa w poz. od 1 do 2</w:t>
      </w:r>
      <w:r w:rsidR="007C7856">
        <w:rPr>
          <w:b w:val="0"/>
          <w:bCs w:val="0"/>
        </w:rPr>
        <w:t>4</w:t>
      </w:r>
      <w:r w:rsidRPr="008D73B6">
        <w:rPr>
          <w:b w:val="0"/>
          <w:bCs w:val="0"/>
        </w:rPr>
        <w:t xml:space="preserve"> jest sprzedażą sezonową </w:t>
      </w:r>
      <w:r w:rsidR="008D73B6">
        <w:rPr>
          <w:b w:val="0"/>
          <w:bCs w:val="0"/>
        </w:rPr>
        <w:t xml:space="preserve">owoców </w:t>
      </w:r>
      <w:r w:rsidR="00FE0E71">
        <w:rPr>
          <w:b w:val="0"/>
          <w:bCs w:val="0"/>
        </w:rPr>
        <w:t>(m.in.</w:t>
      </w:r>
      <w:r w:rsidRPr="008D73B6">
        <w:rPr>
          <w:b w:val="0"/>
          <w:bCs w:val="0"/>
        </w:rPr>
        <w:t>: truskawek, czereśni, wiśni, ma</w:t>
      </w:r>
      <w:r w:rsidR="000D4D2A" w:rsidRPr="008D73B6">
        <w:rPr>
          <w:b w:val="0"/>
          <w:bCs w:val="0"/>
        </w:rPr>
        <w:t xml:space="preserve">lin, śliwek).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>wa stoiska nie może przekraczać</w:t>
      </w:r>
      <w:r w:rsidR="00C22318">
        <w:rPr>
          <w:b w:val="0"/>
        </w:rPr>
        <w:t xml:space="preserve"> </w:t>
      </w:r>
      <w:r w:rsidR="00BE0CD2" w:rsidRPr="00DB604C">
        <w:rPr>
          <w:b w:val="0"/>
        </w:rPr>
        <w:t xml:space="preserve">10 </w:t>
      </w:r>
      <w:proofErr w:type="spellStart"/>
      <w:r w:rsidR="00BE0CD2" w:rsidRPr="00DB604C">
        <w:rPr>
          <w:b w:val="0"/>
        </w:rPr>
        <w:t>m²</w:t>
      </w:r>
      <w:proofErr w:type="spellEnd"/>
      <w:r w:rsidR="00BE0CD2" w:rsidRPr="00DB604C">
        <w:rPr>
          <w:b w:val="0"/>
        </w:rPr>
        <w:t>.</w:t>
      </w:r>
    </w:p>
    <w:p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:rsidR="00BE0CD2" w:rsidRPr="008D73B6" w:rsidRDefault="00BE0CD2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 </w:t>
      </w:r>
      <w:r w:rsidR="00DB604C">
        <w:rPr>
          <w:rFonts w:ascii="Verdana" w:hAnsi="Verdana"/>
        </w:rPr>
        <w:t>2, 6</w:t>
      </w:r>
      <w:r w:rsidRPr="008D73B6">
        <w:rPr>
          <w:rFonts w:ascii="Verdana" w:hAnsi="Verdana"/>
        </w:rPr>
        <w:t xml:space="preserve"> wykazu (droga wewnętrzna)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8D73B6">
        <w:rPr>
          <w:rFonts w:ascii="Verdana" w:hAnsi="Verdana"/>
          <w:b/>
        </w:rPr>
        <w:t>0,80 zł z VAT</w:t>
      </w:r>
      <w:r w:rsidR="00DB604C">
        <w:rPr>
          <w:rFonts w:ascii="Verdana" w:hAnsi="Verdana"/>
          <w:b/>
        </w:rPr>
        <w:t>,</w:t>
      </w:r>
    </w:p>
    <w:p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FE0E71">
        <w:rPr>
          <w:rFonts w:ascii="Verdana" w:hAnsi="Verdana"/>
        </w:rPr>
        <w:t>1,3,4,5</w:t>
      </w:r>
      <w:r w:rsidR="00DB604C">
        <w:rPr>
          <w:rFonts w:ascii="Verdana" w:hAnsi="Verdana"/>
        </w:rPr>
        <w:t>,9,10,11,12,13,14,</w:t>
      </w:r>
      <w:r w:rsidR="007C7856">
        <w:rPr>
          <w:rFonts w:ascii="Verdana" w:hAnsi="Verdana"/>
        </w:rPr>
        <w:t>15,16,17,19,20,21,22,23,24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8D73B6">
        <w:rPr>
          <w:rFonts w:ascii="Verdana" w:hAnsi="Verdana"/>
          <w:b/>
        </w:rPr>
        <w:t>0,80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 pasa drogowego,</w:t>
      </w:r>
    </w:p>
    <w:p w:rsidR="00BE0CD2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7F65">
        <w:rPr>
          <w:rFonts w:ascii="Verdana" w:hAnsi="Verdana"/>
        </w:rPr>
        <w:t xml:space="preserve">18 </w:t>
      </w:r>
      <w:r w:rsidRPr="008D73B6">
        <w:rPr>
          <w:rFonts w:ascii="Verdana" w:hAnsi="Verdana"/>
        </w:rPr>
        <w:t xml:space="preserve">wykazu (droga </w:t>
      </w:r>
      <w:r w:rsidR="00C67F65">
        <w:rPr>
          <w:rFonts w:ascii="Verdana" w:hAnsi="Verdana"/>
        </w:rPr>
        <w:t>krajowa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8D73B6">
        <w:rPr>
          <w:rFonts w:ascii="Verdana" w:hAnsi="Verdana"/>
          <w:b/>
        </w:rPr>
        <w:t>1</w:t>
      </w:r>
      <w:r w:rsidR="005B2C78">
        <w:rPr>
          <w:rFonts w:ascii="Verdana" w:hAnsi="Verdana"/>
          <w:b/>
        </w:rPr>
        <w:t>,20</w:t>
      </w:r>
      <w:r w:rsidRPr="008D73B6">
        <w:rPr>
          <w:rFonts w:ascii="Verdana" w:hAnsi="Verdana"/>
          <w:b/>
        </w:rPr>
        <w:t xml:space="preserve"> zł z VAT</w:t>
      </w:r>
      <w:r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określona</w:t>
      </w:r>
      <w:r w:rsidRPr="008D73B6">
        <w:rPr>
          <w:rFonts w:ascii="Verdana" w:hAnsi="Verdana"/>
        </w:rPr>
        <w:t xml:space="preserve"> w zezwoleniu na zajęcie</w:t>
      </w:r>
      <w:r w:rsidR="00C67F65">
        <w:rPr>
          <w:rFonts w:ascii="Verdana" w:hAnsi="Verdana"/>
        </w:rPr>
        <w:t xml:space="preserve"> pasa drogowego,</w:t>
      </w:r>
    </w:p>
    <w:p w:rsidR="00C67F65" w:rsidRPr="008D73B6" w:rsidRDefault="00C67F65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o którym mowa w pozycji  </w:t>
      </w:r>
      <w:r w:rsidR="00FE0E71">
        <w:rPr>
          <w:rFonts w:ascii="Verdana" w:hAnsi="Verdana"/>
        </w:rPr>
        <w:t>7 i 8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wykazu (teren Gminy Wrocław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>
        <w:rPr>
          <w:rFonts w:ascii="Verdana" w:hAnsi="Verdana"/>
          <w:b/>
        </w:rPr>
        <w:t>1,50 zł +</w:t>
      </w:r>
      <w:r w:rsidRPr="008D73B6">
        <w:rPr>
          <w:rFonts w:ascii="Verdana" w:hAnsi="Verdana"/>
          <w:b/>
        </w:rPr>
        <w:t xml:space="preserve"> VAT</w:t>
      </w:r>
      <w:r>
        <w:rPr>
          <w:rFonts w:ascii="Verdana" w:hAnsi="Verdana"/>
          <w:b/>
        </w:rPr>
        <w:t>.</w:t>
      </w:r>
    </w:p>
    <w:p w:rsidR="00BE0CD2" w:rsidRPr="008D73B6" w:rsidRDefault="00BE0CD2" w:rsidP="000B055D">
      <w:pPr>
        <w:pStyle w:val="Tekstpodstawowywcity"/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W przypadku umów sezonowych wymagana jest płatność z góry za cały okres trwania um</w:t>
      </w:r>
      <w:r w:rsidR="00C67F65">
        <w:rPr>
          <w:rFonts w:ascii="Verdana" w:hAnsi="Verdana"/>
        </w:rPr>
        <w:t>owy (nie ma kaucji).</w:t>
      </w:r>
    </w:p>
    <w:p w:rsidR="00BE0CD2" w:rsidRPr="008D73B6" w:rsidRDefault="00BE0CD2" w:rsidP="000B055D">
      <w:pPr>
        <w:pStyle w:val="Tekstpodstawowywcity"/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/>
        </w:rPr>
        <w:lastRenderedPageBreak/>
        <w:t>Uwaga!</w:t>
      </w:r>
      <w:r w:rsidRPr="008D73B6">
        <w:rPr>
          <w:rFonts w:ascii="Verdana" w:hAnsi="Verdana"/>
        </w:rPr>
        <w:t xml:space="preserve"> W przypadku lokalizacji znajdujących się w pasie drogowym drogi publicznej – poz. </w:t>
      </w:r>
      <w:r w:rsidR="00FE0E71">
        <w:rPr>
          <w:rFonts w:ascii="Verdana" w:hAnsi="Verdana"/>
        </w:rPr>
        <w:t xml:space="preserve"> 1,3,4,5</w:t>
      </w:r>
      <w:r w:rsidR="00C67F65">
        <w:rPr>
          <w:rFonts w:ascii="Verdana" w:hAnsi="Verdana"/>
        </w:rPr>
        <w:t>,9,10</w:t>
      </w:r>
      <w:r w:rsidR="007C7856">
        <w:rPr>
          <w:rFonts w:ascii="Verdana" w:hAnsi="Verdana"/>
        </w:rPr>
        <w:t>,11,12,13,14,15,16,17,18,19,20,21,22,23,24</w:t>
      </w:r>
      <w:r w:rsidR="00C67F65" w:rsidRPr="008D73B6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 xml:space="preserve">- </w:t>
      </w:r>
      <w:r w:rsidRPr="008D73B6">
        <w:rPr>
          <w:rFonts w:ascii="Verdana" w:hAnsi="Verdana"/>
        </w:rPr>
        <w:t>przedsiębiorca zobowiązuje się do wypełnienia wymagań zarządcy drogi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), w szczególności do uiszczenia opłat za cały okres umowy w terminie określonym w zezwoleniu na zajęcie pasa drogowego. </w:t>
      </w:r>
    </w:p>
    <w:p w:rsidR="008D73B6" w:rsidRPr="000B055D" w:rsidRDefault="00BE0CD2" w:rsidP="000B055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Wnioskodawca, który wylosował miejsce wymienione w poz.</w:t>
      </w:r>
      <w:r w:rsidR="0054783B">
        <w:rPr>
          <w:rFonts w:ascii="Verdana" w:hAnsi="Verdana"/>
        </w:rPr>
        <w:t xml:space="preserve"> </w:t>
      </w:r>
      <w:r w:rsidR="00C67F65">
        <w:rPr>
          <w:rFonts w:ascii="Verdana" w:hAnsi="Verdana"/>
        </w:rPr>
        <w:t>1,3,4,8,9,10,11,12,13,14,15,</w:t>
      </w:r>
      <w:r w:rsidR="00DA0C53">
        <w:rPr>
          <w:rFonts w:ascii="Verdana" w:hAnsi="Verdana"/>
        </w:rPr>
        <w:t>16,17,18,19,20,21,22,</w:t>
      </w:r>
      <w:r w:rsidR="007C7856">
        <w:rPr>
          <w:rFonts w:ascii="Verdana" w:hAnsi="Verdana"/>
        </w:rPr>
        <w:t>23,24</w:t>
      </w:r>
      <w:r w:rsidR="00DA0C53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zobowiązany jest do podpisania umowy warunkowej w Biurze Rozwoju Gospodarczego w terminie 7 dni od daty losowania pod rygorem utraty praw do jej zawarcia, a następnie  uzyskania zezwolenia na zajęcie pasa drogowego w Zarządzie Dróg i Utrzymania Miasta (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8D73B6">
        <w:rPr>
          <w:rFonts w:ascii="Verdana" w:hAnsi="Verdana"/>
        </w:rPr>
        <w:t>ZDiUM</w:t>
      </w:r>
      <w:proofErr w:type="spellEnd"/>
      <w:r w:rsidRPr="008D73B6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CA4E29" w:rsidRPr="00C10F8D" w:rsidRDefault="00394B42" w:rsidP="00C10F8D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</w:rPr>
        <w:t>Uczestnik losowania zobowiązany jest przed losowaniem, zapoznać się z regulaminem losowania miejsc na prowadzenie sprzedaży w ramach handlu okrężnego. Regulamin losowania dostępny jest  w siedzibie Ogłaszającego losowanie we Wrocławiu przy ul. Świdnickiej 53, pok. 314 oraz na stronie internetowej</w:t>
      </w:r>
      <w:bookmarkStart w:id="0" w:name="_Hlk97462687"/>
      <w:r w:rsidR="00C10F8D">
        <w:rPr>
          <w:rFonts w:ascii="Verdana" w:hAnsi="Verdana"/>
        </w:rPr>
        <w:t>:</w:t>
      </w:r>
      <w:r w:rsidR="00C10F8D" w:rsidRPr="00C10F8D">
        <w:t xml:space="preserve"> </w:t>
      </w:r>
      <w:hyperlink r:id="rId10" w:history="1">
        <w:r w:rsidR="00C10F8D" w:rsidRPr="00AA5C95">
          <w:rPr>
            <w:rStyle w:val="Hipercze"/>
          </w:rPr>
          <w:t>https://baw.um.wroc.pl/UrzadMiastaWroclawia/document/62554/Zarz%C4%85dzenie-5740_21</w:t>
        </w:r>
      </w:hyperlink>
      <w:bookmarkEnd w:id="0"/>
      <w:r w:rsidRPr="00C10F8D">
        <w:rPr>
          <w:rFonts w:ascii="Verdana" w:hAnsi="Verdana"/>
        </w:rPr>
        <w:t xml:space="preserve"> </w:t>
      </w:r>
    </w:p>
    <w:p w:rsidR="000B055D" w:rsidRDefault="00394B42" w:rsidP="00012CBB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0B055D">
        <w:rPr>
          <w:rFonts w:ascii="Verdana" w:hAnsi="Verdana"/>
        </w:rPr>
        <w:t>Termin umów:</w:t>
      </w:r>
    </w:p>
    <w:p w:rsidR="00394B42" w:rsidRPr="000B055D" w:rsidRDefault="00394B42" w:rsidP="00C10F8D">
      <w:pPr>
        <w:spacing w:line="360" w:lineRule="auto"/>
        <w:ind w:left="426" w:right="-110"/>
        <w:rPr>
          <w:rFonts w:ascii="Verdana" w:hAnsi="Verdana"/>
        </w:rPr>
      </w:pPr>
      <w:r w:rsidRPr="000B055D">
        <w:rPr>
          <w:rFonts w:ascii="Verdana" w:hAnsi="Verdana"/>
        </w:rPr>
        <w:t xml:space="preserve">umowa zawierana jest maksymalnie na okres </w:t>
      </w:r>
      <w:r w:rsidRPr="00C10F8D">
        <w:rPr>
          <w:rFonts w:ascii="Verdana" w:hAnsi="Verdana"/>
          <w:b/>
          <w:bCs/>
        </w:rPr>
        <w:t>od 15 maja do 30 września</w:t>
      </w:r>
      <w:r w:rsidR="0082058F" w:rsidRPr="00C10F8D">
        <w:rPr>
          <w:rFonts w:ascii="Verdana" w:hAnsi="Verdana"/>
          <w:b/>
          <w:bCs/>
        </w:rPr>
        <w:t xml:space="preserve"> 2022</w:t>
      </w:r>
      <w:r w:rsidRPr="00C10F8D">
        <w:rPr>
          <w:rFonts w:ascii="Verdana" w:hAnsi="Verdana"/>
          <w:b/>
          <w:bCs/>
        </w:rPr>
        <w:t xml:space="preserve"> r</w:t>
      </w:r>
      <w:r w:rsidR="00BE0CD2" w:rsidRPr="00C10F8D">
        <w:rPr>
          <w:rFonts w:ascii="Verdana" w:hAnsi="Verdana"/>
        </w:rPr>
        <w:t>.</w:t>
      </w:r>
    </w:p>
    <w:p w:rsidR="00394B42" w:rsidRPr="008D73B6" w:rsidRDefault="00394B42" w:rsidP="00C10F8D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8D73B6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394B42" w:rsidRPr="008D73B6" w:rsidRDefault="00394B42" w:rsidP="00C10F8D">
      <w:pPr>
        <w:numPr>
          <w:ilvl w:val="0"/>
          <w:numId w:val="5"/>
        </w:numPr>
        <w:tabs>
          <w:tab w:val="num" w:pos="900"/>
        </w:tabs>
        <w:spacing w:line="360" w:lineRule="auto"/>
        <w:ind w:left="426" w:hanging="399"/>
        <w:rPr>
          <w:rFonts w:ascii="Verdana" w:hAnsi="Verdana"/>
        </w:rPr>
      </w:pPr>
      <w:r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BE0CD2" w:rsidRPr="008D73B6" w:rsidRDefault="00BE0CD2" w:rsidP="00DB604C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lastRenderedPageBreak/>
        <w:t xml:space="preserve">Dodatkowe informacje można uzyskać telefonicznie w Biurze Rozwoju Gospodarczego Urzędu Miejskiego we Wrocławiu, Dział Handlu i Reklam,  </w:t>
      </w:r>
      <w:r w:rsidRPr="008D73B6">
        <w:rPr>
          <w:rFonts w:ascii="Verdana" w:hAnsi="Verdana"/>
        </w:rPr>
        <w:t xml:space="preserve">tel. 71/ 777 78 03, 71/777 78 17, sekretariat: tel. </w:t>
      </w:r>
      <w:r w:rsidRPr="008D73B6">
        <w:rPr>
          <w:rFonts w:ascii="Verdana" w:hAnsi="Verdana"/>
          <w:bCs/>
        </w:rPr>
        <w:t>71/ 777 71 74</w:t>
      </w:r>
      <w:r w:rsidRPr="008D73B6">
        <w:rPr>
          <w:rFonts w:ascii="Verdana" w:hAnsi="Verdana"/>
        </w:rPr>
        <w:t xml:space="preserve">. </w:t>
      </w: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394B42" w:rsidRPr="008D73B6" w:rsidRDefault="00394B42" w:rsidP="008D73B6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8D73B6">
        <w:rPr>
          <w:rFonts w:ascii="Verdana" w:hAnsi="Verdana"/>
          <w:b/>
          <w:color w:val="FF0000"/>
        </w:rPr>
        <w:t xml:space="preserve">UWAGA ! </w:t>
      </w:r>
      <w:r w:rsidRPr="008D73B6">
        <w:rPr>
          <w:rFonts w:ascii="Verdana" w:hAnsi="Verdana"/>
          <w:color w:val="FF0000"/>
        </w:rPr>
        <w:t>Ze względu na sytuację dotyczącą koronawirusa, proszę na bieżąco śledzić zakładkę przetargi na stronie internetowej Biuletynu Informacji Publicznej bip.um.wroc.pl</w:t>
      </w:r>
    </w:p>
    <w:p w:rsidR="00323129" w:rsidRPr="008D73B6" w:rsidRDefault="00B1740E" w:rsidP="008D73B6">
      <w:pPr>
        <w:spacing w:line="360" w:lineRule="auto"/>
      </w:pPr>
    </w:p>
    <w:sectPr w:rsidR="00323129" w:rsidRPr="008D73B6" w:rsidSect="000B055D">
      <w:footerReference w:type="even" r:id="rId11"/>
      <w:footerReference w:type="default" r:id="rId12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40E" w:rsidRDefault="00B1740E" w:rsidP="00C14C64">
      <w:r>
        <w:separator/>
      </w:r>
    </w:p>
  </w:endnote>
  <w:endnote w:type="continuationSeparator" w:id="0">
    <w:p w:rsidR="00B1740E" w:rsidRDefault="00B1740E" w:rsidP="00C1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C6" w:rsidRDefault="00447C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4B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46C6" w:rsidRDefault="00B1740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C6" w:rsidRDefault="00447C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4B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738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646C6" w:rsidRDefault="00C47C18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>losowanie  7</w:t>
    </w:r>
    <w:r w:rsidR="00C14C64">
      <w:rPr>
        <w:rFonts w:ascii="Verdana" w:hAnsi="Verdana"/>
        <w:sz w:val="16"/>
      </w:rPr>
      <w:t>.04.2022</w:t>
    </w:r>
    <w:r w:rsidR="00734B90"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40E" w:rsidRDefault="00B1740E" w:rsidP="00C14C64">
      <w:r>
        <w:separator/>
      </w:r>
    </w:p>
  </w:footnote>
  <w:footnote w:type="continuationSeparator" w:id="0">
    <w:p w:rsidR="00B1740E" w:rsidRDefault="00B1740E" w:rsidP="00C1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B42"/>
    <w:rsid w:val="00087D14"/>
    <w:rsid w:val="000B055D"/>
    <w:rsid w:val="000D4D2A"/>
    <w:rsid w:val="001802B3"/>
    <w:rsid w:val="00227930"/>
    <w:rsid w:val="002408A7"/>
    <w:rsid w:val="002F2383"/>
    <w:rsid w:val="00313F3A"/>
    <w:rsid w:val="00394B42"/>
    <w:rsid w:val="003B6C57"/>
    <w:rsid w:val="00447CF5"/>
    <w:rsid w:val="0054783B"/>
    <w:rsid w:val="0057410F"/>
    <w:rsid w:val="005B2C78"/>
    <w:rsid w:val="005F07BC"/>
    <w:rsid w:val="0067773F"/>
    <w:rsid w:val="0069738C"/>
    <w:rsid w:val="006A2C30"/>
    <w:rsid w:val="006D6D49"/>
    <w:rsid w:val="006E4628"/>
    <w:rsid w:val="0073160C"/>
    <w:rsid w:val="00734B90"/>
    <w:rsid w:val="007C7856"/>
    <w:rsid w:val="00812184"/>
    <w:rsid w:val="0082058F"/>
    <w:rsid w:val="008D73B6"/>
    <w:rsid w:val="00AA0133"/>
    <w:rsid w:val="00B1740E"/>
    <w:rsid w:val="00BA7522"/>
    <w:rsid w:val="00BE0CD2"/>
    <w:rsid w:val="00C10F8D"/>
    <w:rsid w:val="00C14C64"/>
    <w:rsid w:val="00C22318"/>
    <w:rsid w:val="00C47C18"/>
    <w:rsid w:val="00C67F65"/>
    <w:rsid w:val="00CA4E29"/>
    <w:rsid w:val="00CD7004"/>
    <w:rsid w:val="00DA0C53"/>
    <w:rsid w:val="00DB604C"/>
    <w:rsid w:val="00E3039F"/>
    <w:rsid w:val="00E51C4D"/>
    <w:rsid w:val="00E71DBB"/>
    <w:rsid w:val="00EE7C88"/>
    <w:rsid w:val="00F16CCC"/>
    <w:rsid w:val="00F765B9"/>
    <w:rsid w:val="00F8585B"/>
    <w:rsid w:val="00F96F0A"/>
    <w:rsid w:val="00FE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w.um.wroc.pl/UrzadMiastaWroclawia/document/62554/Zarz%C4%85dzenie-5740_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577F8-122C-4B04-B8B7-3B109D87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1299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ummofl01</cp:lastModifiedBy>
  <cp:revision>2</cp:revision>
  <cp:lastPrinted>2022-03-08T12:26:00Z</cp:lastPrinted>
  <dcterms:created xsi:type="dcterms:W3CDTF">2022-03-08T13:44:00Z</dcterms:created>
  <dcterms:modified xsi:type="dcterms:W3CDTF">2022-03-08T13:44:00Z</dcterms:modified>
</cp:coreProperties>
</file>