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0E" w:rsidRPr="00D0190E" w:rsidRDefault="00D0190E" w:rsidP="00D0190E">
      <w:pPr>
        <w:pStyle w:val="Nagwek1"/>
        <w:spacing w:before="120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D0190E">
        <w:rPr>
          <w:rFonts w:ascii="Arial" w:hAnsi="Arial" w:cs="Arial"/>
          <w:sz w:val="24"/>
          <w:szCs w:val="24"/>
        </w:rPr>
        <w:t>Uchwała Nr 08/2022</w:t>
      </w:r>
    </w:p>
    <w:p w:rsidR="00D0190E" w:rsidRPr="00D0190E" w:rsidRDefault="00D0190E" w:rsidP="00D0190E">
      <w:pPr>
        <w:pStyle w:val="Nagwek1"/>
        <w:spacing w:before="120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D0190E">
        <w:rPr>
          <w:rFonts w:ascii="Arial" w:hAnsi="Arial" w:cs="Arial"/>
          <w:sz w:val="24"/>
          <w:szCs w:val="24"/>
        </w:rPr>
        <w:t>Nadzwyczajnego Zgromadzenia Wspólników</w:t>
      </w:r>
    </w:p>
    <w:p w:rsidR="00D0190E" w:rsidRPr="00D0190E" w:rsidRDefault="00D0190E" w:rsidP="00D0190E">
      <w:pPr>
        <w:pStyle w:val="Nagwek1"/>
        <w:spacing w:before="120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D0190E">
        <w:rPr>
          <w:rFonts w:ascii="Arial" w:hAnsi="Arial" w:cs="Arial"/>
          <w:sz w:val="24"/>
          <w:szCs w:val="24"/>
        </w:rPr>
        <w:t>spółki SIM Wrocław sp. z o.o. w organizacji</w:t>
      </w:r>
    </w:p>
    <w:p w:rsidR="00D0190E" w:rsidRPr="00D0190E" w:rsidRDefault="00D0190E" w:rsidP="00D0190E">
      <w:pPr>
        <w:pStyle w:val="Nagwek1"/>
        <w:spacing w:before="120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D0190E">
        <w:rPr>
          <w:rFonts w:ascii="Arial" w:hAnsi="Arial" w:cs="Arial"/>
          <w:sz w:val="24"/>
          <w:szCs w:val="24"/>
        </w:rPr>
        <w:t>z dnia 27 stycznia 2022 r.</w:t>
      </w:r>
    </w:p>
    <w:p w:rsidR="00D0190E" w:rsidRPr="00D0190E" w:rsidRDefault="00D0190E" w:rsidP="00D0190E">
      <w:pPr>
        <w:rPr>
          <w:b/>
        </w:rPr>
      </w:pPr>
      <w:r w:rsidRPr="00D0190E">
        <w:rPr>
          <w:b/>
        </w:rPr>
        <w:t>w sprawie: ustalenia maksymalnej wysokości wynagrodzenia dla członków Zarządu oraz określenie prawa do świadczeń dodatkowych i maksymalnej wysokości tych świadczeń przysługujących członkom Zarządu.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Na podstawie §16 ust. 2 </w:t>
      </w:r>
      <w:proofErr w:type="spellStart"/>
      <w:r>
        <w:t>pkt</w:t>
      </w:r>
      <w:proofErr w:type="spellEnd"/>
      <w:r>
        <w:t xml:space="preserve"> 13 Umowy Spółki Zgromadzenie Wspólników Spółki SIM Wrocław sp. z o. o. w organizacji uchwala, co następuje: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1 </w:t>
      </w:r>
    </w:p>
    <w:p w:rsidR="00D0190E" w:rsidRDefault="00D0190E" w:rsidP="00D0190E">
      <w:pPr>
        <w:pStyle w:val="Akapitzlist"/>
        <w:numPr>
          <w:ilvl w:val="0"/>
          <w:numId w:val="3"/>
        </w:numPr>
        <w:spacing w:before="120" w:after="100" w:afterAutospacing="1" w:line="360" w:lineRule="auto"/>
      </w:pPr>
      <w:r>
        <w:t>Z członkiem Zarządu zawierana jest umowa o świadczenie usług zarządzania na czas pełnienia funkcji (dalej „Umowa”), z obowiązkiem świadczenia osobistego, bez względu na to, czy działa on w zakresie prowadzonej działalności gospodarczej.</w:t>
      </w:r>
    </w:p>
    <w:p w:rsidR="00D0190E" w:rsidRDefault="00D0190E" w:rsidP="00D0190E">
      <w:pPr>
        <w:pStyle w:val="Akapitzlist"/>
        <w:numPr>
          <w:ilvl w:val="0"/>
          <w:numId w:val="3"/>
        </w:numPr>
        <w:spacing w:before="120" w:after="100" w:afterAutospacing="1" w:line="360" w:lineRule="auto"/>
      </w:pPr>
      <w:r>
        <w:t xml:space="preserve">Treść Umowy, stosownie do zapisu zawartego w §18 ust.1 </w:t>
      </w:r>
      <w:proofErr w:type="spellStart"/>
      <w:r>
        <w:t>pkt</w:t>
      </w:r>
      <w:proofErr w:type="spellEnd"/>
      <w:r>
        <w:t xml:space="preserve"> 6) Umowy Spółki,  ustali  Rada Nadzorcza na warunkach określonych w ustawie z dnia 9 czerwca 2016 r. o zasadach kształtowania wynagrodzeń osób kierujących niektórymi spółkami (dalej „Ustawa”) oraz zgodnie z postanowieniami uchwały.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2 </w:t>
      </w:r>
    </w:p>
    <w:p w:rsidR="00D0190E" w:rsidRDefault="00D0190E" w:rsidP="00D0190E">
      <w:pPr>
        <w:pStyle w:val="Akapitzlist"/>
        <w:numPr>
          <w:ilvl w:val="0"/>
          <w:numId w:val="4"/>
        </w:numPr>
        <w:spacing w:before="120" w:after="100" w:afterAutospacing="1" w:line="360" w:lineRule="auto"/>
      </w:pPr>
      <w:r>
        <w:t>Wynagrodzenie całkowite członka Zarządu składa się z części stałej, stanowiącej wynagrodzenie miesięczne podstawowe (dalej „Wynagrodzenie Stałe”) oraz części zmiennej, stanowiącej wynagrodzenie uzupełniające za rok obrotowy Spółki (dalej „Wynagrodzenie Zmienne”).</w:t>
      </w:r>
    </w:p>
    <w:p w:rsidR="00D0190E" w:rsidRDefault="00D0190E" w:rsidP="00D0190E">
      <w:pPr>
        <w:pStyle w:val="Akapitzlist"/>
        <w:numPr>
          <w:ilvl w:val="0"/>
          <w:numId w:val="4"/>
        </w:numPr>
        <w:spacing w:before="120" w:after="100" w:afterAutospacing="1" w:line="360" w:lineRule="auto"/>
      </w:pPr>
      <w:r>
        <w:lastRenderedPageBreak/>
        <w:t xml:space="preserve">Wynagrodzenie Stałe dla poszczególnych członków Zarządu zawiera się w przedziale kwotowym mieszczącym się od jednokrotności do trzy i pół krotności podstawy wymiaru, o której mowa w art. 1 ust. 3 </w:t>
      </w:r>
      <w:proofErr w:type="spellStart"/>
      <w:r>
        <w:t>pkt</w:t>
      </w:r>
      <w:proofErr w:type="spellEnd"/>
      <w:r>
        <w:t xml:space="preserve"> 11 ustawy z dnia 9 czerwca 2016 r. o zasadach kształtowania wynagrodzeń osób kierujących niektórymi spółkami.</w:t>
      </w:r>
    </w:p>
    <w:p w:rsidR="00D0190E" w:rsidRDefault="00D0190E" w:rsidP="00D0190E">
      <w:pPr>
        <w:pStyle w:val="Akapitzlist"/>
        <w:numPr>
          <w:ilvl w:val="0"/>
          <w:numId w:val="4"/>
        </w:numPr>
        <w:spacing w:before="120" w:after="100" w:afterAutospacing="1" w:line="360" w:lineRule="auto"/>
      </w:pPr>
      <w:r>
        <w:t>Upoważnia się Radę Nadzorczą Spółki do określenia kwotowo Wynagrodzenia Stałego dla poszczególnych członków Zarządu zgodnie z postanowieniami ust. 2.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3 </w:t>
      </w:r>
    </w:p>
    <w:p w:rsidR="00D0190E" w:rsidRDefault="00D0190E" w:rsidP="00D0190E">
      <w:pPr>
        <w:pStyle w:val="Akapitzlist"/>
        <w:numPr>
          <w:ilvl w:val="0"/>
          <w:numId w:val="5"/>
        </w:numPr>
        <w:spacing w:before="120" w:after="100" w:afterAutospacing="1" w:line="360" w:lineRule="auto"/>
      </w:pPr>
      <w:r>
        <w:t>Wynagrodzenie Zmienne jest uzależnione od poziomu realizacji celów zarządczych i nie może przekroczyć 50% Wynagrodzenia Stałego w poprzednim roku obrotowym, dla którego dokonywane jest obliczenie wysokości przysługującego Wynagrodzenia Zmiennego</w:t>
      </w:r>
    </w:p>
    <w:p w:rsidR="00D0190E" w:rsidRDefault="00D0190E" w:rsidP="00D0190E">
      <w:pPr>
        <w:pStyle w:val="Akapitzlist"/>
        <w:numPr>
          <w:ilvl w:val="0"/>
          <w:numId w:val="5"/>
        </w:numPr>
        <w:spacing w:before="120" w:after="100" w:afterAutospacing="1" w:line="360" w:lineRule="auto"/>
      </w:pPr>
      <w:r>
        <w:t xml:space="preserve">Ustala się ogólne cele zarządcze, szczególności obejmujące opracowanie i realizację planów strategicznych spółki. </w:t>
      </w:r>
    </w:p>
    <w:p w:rsidR="00D0190E" w:rsidRDefault="00D0190E" w:rsidP="00D0190E">
      <w:pPr>
        <w:pStyle w:val="Akapitzlist"/>
        <w:numPr>
          <w:ilvl w:val="0"/>
          <w:numId w:val="5"/>
        </w:numPr>
        <w:spacing w:before="120" w:after="100" w:afterAutospacing="1" w:line="360" w:lineRule="auto"/>
      </w:pPr>
      <w:r>
        <w:t xml:space="preserve">Upoważnia się Radę Nadzorczą do ustalenia wskaźnika procentowego Wynagrodzenia Zmiennego, opracowania szczegółowych celów zarządczych, o których mowa w ustępie 2, a także do określenia Wag dla tych Celów oraz obiektywnych i mierzalnych kryteriów (wskaźników) ich realizacji i rozliczania (KPI), z zastrzeżeniem ust 5. </w:t>
      </w:r>
    </w:p>
    <w:p w:rsidR="00D0190E" w:rsidRDefault="00D0190E" w:rsidP="00D0190E">
      <w:pPr>
        <w:pStyle w:val="Akapitzlist"/>
        <w:numPr>
          <w:ilvl w:val="0"/>
          <w:numId w:val="5"/>
        </w:numPr>
        <w:spacing w:before="120" w:after="100" w:afterAutospacing="1" w:line="360" w:lineRule="auto"/>
      </w:pPr>
      <w:r>
        <w:t>Rada Nadzorcza ocenia  poziom wykonania celów zarządczych przez członków Zarządu pełniących w Zarządzie funkcje w ocenianym roku określając należną kwotę, w oparciu o przedłożone przez członka Zarządu: sprawozdanie o wykonaniu celów, sprawozdanie finansowe zweryfikowane przez biegłych rewidentów oraz inne dokumenty, w zależności od wyznaczonych celów zarządczych.</w:t>
      </w:r>
    </w:p>
    <w:p w:rsidR="00D0190E" w:rsidRDefault="00D0190E" w:rsidP="00D0190E">
      <w:pPr>
        <w:pStyle w:val="Akapitzlist"/>
        <w:numPr>
          <w:ilvl w:val="0"/>
          <w:numId w:val="5"/>
        </w:numPr>
        <w:spacing w:before="120" w:after="100" w:afterAutospacing="1" w:line="360" w:lineRule="auto"/>
      </w:pPr>
      <w:r>
        <w:t xml:space="preserve">Wynagrodzenie Zmienne może być wypłacone, po zatwierdzeniu sprawozdania Zarządu z działalności Spółki oraz sprawozdania finansowego za ubiegły rok obrotowy i udzieleniu temu członkowi </w:t>
      </w:r>
      <w:r>
        <w:lastRenderedPageBreak/>
        <w:t xml:space="preserve">Zarządu absolutorium z wykonania przez niego obowiązków przez Zgromadzenie Wspólników. 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4 </w:t>
      </w:r>
    </w:p>
    <w:p w:rsidR="00D0190E" w:rsidRDefault="00D0190E" w:rsidP="00D0190E">
      <w:pPr>
        <w:pStyle w:val="Akapitzlist"/>
        <w:numPr>
          <w:ilvl w:val="0"/>
          <w:numId w:val="6"/>
        </w:numPr>
        <w:spacing w:before="120" w:after="100" w:afterAutospacing="1" w:line="360" w:lineRule="auto"/>
      </w:pPr>
      <w:r>
        <w:t>Umowa powinna zawierać obowiązek informowania przez członka Zarządu o zamiarze pełnienia funkcji w organach innej spółki handlowej, nabyciu w niej udziałów lub akcji oraz może przewidywać zakaz pełnienia funkcji w organach jakiejkolwiek innej spółki handlowej lub wprowadzać inne ograniczenia dotyczące dodatkowej działalności członka Zarządu</w:t>
      </w:r>
    </w:p>
    <w:p w:rsidR="00D0190E" w:rsidRDefault="00D0190E" w:rsidP="00D0190E">
      <w:pPr>
        <w:pStyle w:val="Akapitzlist"/>
        <w:numPr>
          <w:ilvl w:val="0"/>
          <w:numId w:val="6"/>
        </w:numPr>
        <w:spacing w:before="120" w:after="100" w:afterAutospacing="1" w:line="360" w:lineRule="auto"/>
      </w:pPr>
      <w:r>
        <w:t xml:space="preserve">Członek Zarządu nie może pobierać wynagrodzenia z tytułu pełnienia funkcji członka organu w podmiotach zależnych od Spółki w ramach grupy kapitałowej w rozumieniu art. 4 </w:t>
      </w:r>
      <w:proofErr w:type="spellStart"/>
      <w:r>
        <w:t>pkt</w:t>
      </w:r>
      <w:proofErr w:type="spellEnd"/>
      <w:r>
        <w:t xml:space="preserve"> 14 ustawy z dnia 16 lutego 2007 r. o ochronie konkurencji i konsumentów.</w:t>
      </w:r>
    </w:p>
    <w:p w:rsidR="00D0190E" w:rsidRDefault="00D0190E" w:rsidP="00D0190E">
      <w:pPr>
        <w:pStyle w:val="Akapitzlist"/>
        <w:numPr>
          <w:ilvl w:val="0"/>
          <w:numId w:val="6"/>
        </w:numPr>
        <w:spacing w:before="120" w:after="100" w:afterAutospacing="1" w:line="360" w:lineRule="auto"/>
      </w:pPr>
      <w:r>
        <w:t xml:space="preserve">Upoważnia się Radę Nadzorczą do określenia zakazów i ograniczeń, o których mowa w ust 1 i 2, obowiązków sprawozdawczych z ich wykonania oraz sankcji za nienależyte wykonanie. </w:t>
      </w:r>
    </w:p>
    <w:p w:rsidR="00D0190E" w:rsidRDefault="00D0190E" w:rsidP="00D0190E">
      <w:pPr>
        <w:spacing w:before="120" w:after="100" w:afterAutospacing="1" w:line="360" w:lineRule="auto"/>
      </w:pPr>
      <w:r>
        <w:t>§ 5</w:t>
      </w:r>
    </w:p>
    <w:p w:rsidR="00D0190E" w:rsidRDefault="00D0190E" w:rsidP="00D0190E">
      <w:pPr>
        <w:pStyle w:val="Akapitzlist"/>
        <w:numPr>
          <w:ilvl w:val="0"/>
          <w:numId w:val="7"/>
        </w:numPr>
        <w:spacing w:before="120" w:after="100" w:afterAutospacing="1" w:line="360" w:lineRule="auto"/>
      </w:pPr>
      <w:r>
        <w:t>Członkowi Zarządu przysługują świadczenia dodatkowe polegające na udostępnianiu urządzeń technicznych oraz zasobów stanowiących mienie Spółki, niezbędnych do wykonywania funkcji. Rada Nadzorcza określi w uchwale zakres i zasady udostępniania członkowi Zarządu urządzeń technicznych oraz zasobów stanowiących mienie Spółki,  a także może określić limity albo sposób ich określania dotyczące kosztów, jakie Spółka ponosi w związku z udostępnieniem i wykorzystywaniem urządzeń i zasobów przez członka Zarządu do celów służbowych</w:t>
      </w:r>
    </w:p>
    <w:p w:rsidR="00D0190E" w:rsidRDefault="00D0190E" w:rsidP="00D0190E">
      <w:pPr>
        <w:pStyle w:val="Akapitzlist"/>
        <w:numPr>
          <w:ilvl w:val="0"/>
          <w:numId w:val="7"/>
        </w:numPr>
        <w:spacing w:before="120" w:after="100" w:afterAutospacing="1" w:line="360" w:lineRule="auto"/>
      </w:pPr>
      <w:r>
        <w:t xml:space="preserve">Uchwała Rady Nadzorczej może określić także zasady korzystania przez członka Zarządu z mienia Spółki do celów prywatnych. 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6 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lastRenderedPageBreak/>
        <w:t>W przypadku wygaśnięcia mandatu w szczególności na skutek śmierci, odwołania lub złożenia rezygnacji, Umowa rozwiązuje się z ostatnim dniem pełnienia funkcji bez konieczności dokonywania dodatkowych czynności.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>Każda ze Stron ma prawo wypowiedzenia Umowy ze skutkiem natychmiastowym w przypadku istotnego naruszenia przez drugą Stronę postanowień Umowy. Upoważnia się Radę Nadzorczą do określenia przypadków istotnego naruszenia przez członka Zarządu postanowień Umowy.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 xml:space="preserve">Spółka ma prawo wypowiedzenia Umowy z innych przyczyn niż określone w ust 2, z maksymalnie 3 (trzy) miesięcznym terminem wypowiedzenia, z zastrzeżeniem, iż w przypadku, gdy w okresie wypowiedzenia wystąpi zdarzenie, o którym mowa w ust. 1 skutkujące rozwiązaniem Umowy wskutek zaprzestania pełnienia funkcji, to Umowa ulega rozwiązaniu zgodnie z treścią ust. 1. Umowa może przewidywać różne terminy wypowiedzenia w zależności od czasu pełnienia funkcji przez członka Zarządu, z zastrzeżeniem ust. 1, w tym także postanowienia, że termin wypowiedzenia upływa z końcem miesiąca kalendarzowego. 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>W przypadku rozwiązania Umowy za porozumieniem stron, ustalony termin rozwiązania umowy nie może być dłuższy niż 3 (trzy) miesiące.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 xml:space="preserve">W razie rozwiązania albo wypowiedzenia przez Spółkę Umowy z innych przyczyn niż określone w ust. 2, członkowi Zarządu może być przyznana odprawa, w wysokości nie wyższej niż 3 (trzy)-krotność części stałej wynagrodzenia, pod warunkiem pełnienia przez niego funkcji przez okres co najmniej 12 (dwunastu) miesięcy przed rozwiązaniem tej Umowy. 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>Odprawa, o której mowa w ust. 5 nie przysługuje członkowi Zarządu w przypadku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lastRenderedPageBreak/>
        <w:t xml:space="preserve">wypowiedzenia, rozwiązania lub zmiany Umowy wskutek zmiany funkcji pełnionej przez Zarządzającego w składzie Zarządu; 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 xml:space="preserve">wypowiedzenia, rozwiązania lub zmiany Umowy wskutek powołania Zarządzającego na kolejną kadencję Zarządu; 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>objęcia funkcji członka zarządu w spółce w ramach grupy kapitałowej;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>rezygnacji z pełnienia funkcji;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 xml:space="preserve">rozwiązania Umowy w okresie wypowiedzenia, o którym mowa w ust. 3; 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>rozwiązania Umowy za porozumieniem stron;</w:t>
      </w:r>
    </w:p>
    <w:p w:rsidR="00D0190E" w:rsidRDefault="00D0190E" w:rsidP="00D0190E">
      <w:pPr>
        <w:pStyle w:val="Akapitzlist"/>
        <w:numPr>
          <w:ilvl w:val="1"/>
          <w:numId w:val="8"/>
        </w:numPr>
        <w:spacing w:before="120" w:after="100" w:afterAutospacing="1" w:line="360" w:lineRule="auto"/>
      </w:pPr>
      <w:r>
        <w:t xml:space="preserve">wygaśnięcia mandatu na skutek upływu kadencji. </w:t>
      </w:r>
    </w:p>
    <w:p w:rsidR="00D0190E" w:rsidRDefault="00D0190E" w:rsidP="00D0190E">
      <w:pPr>
        <w:pStyle w:val="Akapitzlist"/>
        <w:numPr>
          <w:ilvl w:val="0"/>
          <w:numId w:val="8"/>
        </w:numPr>
        <w:spacing w:before="120" w:after="100" w:afterAutospacing="1" w:line="360" w:lineRule="auto"/>
      </w:pPr>
      <w:r>
        <w:t>Wygaśnięcie mandatu po upływie roku obrotowego ocenianego pod względem wykonania celów zarządczych, nie powoduje utraty prawa do Wynagrodzenia Zmiennego, ustalonego na warunkach określonych w § 3. Wygaśnięcie mandatu w trakcie trwania roku obrotowego, nie powoduje utraty prawa do Wynagrodzenia Zmiennego na zasadach określonych w § 3, w wysokości proporcjonalnej do okresu pełnienia funkcji w roku obrotowym.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§ 7 </w:t>
      </w:r>
    </w:p>
    <w:p w:rsidR="00D0190E" w:rsidRDefault="00D0190E" w:rsidP="00D0190E">
      <w:pPr>
        <w:pStyle w:val="Akapitzlist"/>
        <w:numPr>
          <w:ilvl w:val="0"/>
          <w:numId w:val="9"/>
        </w:numPr>
        <w:spacing w:before="120" w:after="100" w:afterAutospacing="1" w:line="360" w:lineRule="auto"/>
      </w:pPr>
      <w:r>
        <w:t>Rada Nadzorcza może zawrzeć z Członkiem Zarządu umowę o zakazie konkurencji obowiązującym po ustaniu pełnienia funkcji, przy czym może być ona zawarta jedynie w przypadku pełnienia funkcji przez członka Zarządu przez okres co najmniej 6 (sześciu) miesięcy.</w:t>
      </w:r>
    </w:p>
    <w:p w:rsidR="00D0190E" w:rsidRDefault="00D0190E" w:rsidP="00D0190E">
      <w:pPr>
        <w:pStyle w:val="Akapitzlist"/>
        <w:numPr>
          <w:ilvl w:val="0"/>
          <w:numId w:val="9"/>
        </w:numPr>
        <w:spacing w:before="120" w:after="100" w:afterAutospacing="1" w:line="360" w:lineRule="auto"/>
      </w:pPr>
      <w:r>
        <w:t xml:space="preserve">Zawarcie umowy o zakazie konkurencji po rozwiązaniu lub wypowiedzeniu Umowy jest niedopuszczalne. </w:t>
      </w:r>
    </w:p>
    <w:p w:rsidR="00D0190E" w:rsidRDefault="00D0190E" w:rsidP="00D0190E">
      <w:pPr>
        <w:pStyle w:val="Akapitzlist"/>
        <w:numPr>
          <w:ilvl w:val="0"/>
          <w:numId w:val="9"/>
        </w:numPr>
        <w:spacing w:before="120" w:after="100" w:afterAutospacing="1" w:line="360" w:lineRule="auto"/>
      </w:pPr>
      <w:r>
        <w:t>Okres zakazu konkurencji nie może przekraczać 6 (sześciu) miesięcy po ustaniu pełnienia funkcji przez członka Zarządu.</w:t>
      </w:r>
    </w:p>
    <w:p w:rsidR="00D0190E" w:rsidRDefault="00D0190E" w:rsidP="00D0190E">
      <w:pPr>
        <w:pStyle w:val="Akapitzlist"/>
        <w:numPr>
          <w:ilvl w:val="0"/>
          <w:numId w:val="9"/>
        </w:numPr>
        <w:spacing w:before="120" w:after="100" w:afterAutospacing="1" w:line="360" w:lineRule="auto"/>
      </w:pPr>
      <w:r>
        <w:t xml:space="preserve">W razie niewykonania lub nienależytego wykonania przez członka Zarządu umowy o zakazie konkurencji będzie on zobowiązany do </w:t>
      </w:r>
      <w:r>
        <w:lastRenderedPageBreak/>
        <w:t>zapłaty kary umownej na rzecz Spółki, nie niższej niż wysokość odszkodowania przysługującego za cały okres zakazu konkurencji.</w:t>
      </w:r>
    </w:p>
    <w:p w:rsidR="00D0190E" w:rsidRDefault="00D0190E" w:rsidP="00D0190E">
      <w:pPr>
        <w:pStyle w:val="Akapitzlist"/>
        <w:numPr>
          <w:ilvl w:val="0"/>
          <w:numId w:val="9"/>
        </w:numPr>
        <w:spacing w:before="120" w:after="100" w:afterAutospacing="1" w:line="360" w:lineRule="auto"/>
      </w:pPr>
      <w:r>
        <w:t xml:space="preserve">Rada Nadzorcza zobowiązana jest określić w umowie o zakazie konkurencji co najmniej działalność konkurencyjną wobec Spółki, wysokość odszkodowania z tytułu przestrzegania zakazu konkurencji, terminy zapłaty tego odszkodowania, obowiązki informacyjne zarządzającego oraz przypadki, w których zakaz konkurencji przestaje obowiązywać, jak też może określić prawo Spółki do odstąpienia od umowy o zakazie konkurencji lub prawa stron do wypowiedzenia umowy o zakazie konkurencji. </w:t>
      </w:r>
    </w:p>
    <w:p w:rsidR="00D0190E" w:rsidRDefault="00D0190E" w:rsidP="00D0190E">
      <w:pPr>
        <w:spacing w:before="120" w:after="100" w:afterAutospacing="1" w:line="360" w:lineRule="auto"/>
      </w:pPr>
      <w:r>
        <w:t>§ 8</w:t>
      </w:r>
    </w:p>
    <w:p w:rsidR="00D0190E" w:rsidRDefault="00D0190E" w:rsidP="00D0190E">
      <w:pPr>
        <w:spacing w:before="120" w:after="100" w:afterAutospacing="1" w:line="360" w:lineRule="auto"/>
      </w:pPr>
      <w:r>
        <w:t>Uchyla się uchwałę Nr 8/2021 Nadzwyczajnego Zgromadzenia Wspólników spółki SI Wrocław sp. z o.o. w organizacji z dnia 20 grudnia 2021 r. w sprawie: ustalenia maksymalnej wysokości wynagrodzenia dla członków Zarządu oraz określenie prawa do świadczeń dodatkowych i maksymalnej wysokości tych świadczeń przysługujących członkom Zarządu.</w:t>
      </w:r>
    </w:p>
    <w:p w:rsidR="00D0190E" w:rsidRDefault="00D0190E" w:rsidP="00D0190E">
      <w:pPr>
        <w:spacing w:before="120" w:after="100" w:afterAutospacing="1" w:line="360" w:lineRule="auto"/>
      </w:pPr>
      <w:r>
        <w:t>§ 9</w:t>
      </w:r>
    </w:p>
    <w:p w:rsidR="00D0190E" w:rsidRDefault="00D0190E" w:rsidP="00D0190E">
      <w:pPr>
        <w:spacing w:before="120" w:after="100" w:afterAutospacing="1" w:line="360" w:lineRule="auto"/>
      </w:pPr>
      <w:r>
        <w:t>Uchwała wchodzi w życie z dniem podjęcia.</w:t>
      </w:r>
    </w:p>
    <w:p w:rsidR="00D0190E" w:rsidRDefault="00D0190E" w:rsidP="00D0190E">
      <w:pPr>
        <w:spacing w:before="120" w:after="100" w:afterAutospacing="1" w:line="360" w:lineRule="auto"/>
      </w:pPr>
      <w:r>
        <w:t>Uchwałę podjęto jednomyślnie w głosowaniu jawnym.</w:t>
      </w:r>
    </w:p>
    <w:p w:rsidR="00D0190E" w:rsidRDefault="00D0190E" w:rsidP="00D0190E">
      <w:pPr>
        <w:spacing w:before="120" w:after="100" w:afterAutospacing="1" w:line="360" w:lineRule="auto"/>
      </w:pPr>
      <w:r>
        <w:t>Dokument podpisali: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Przewodniczący Nadzwyczajnego Zgromadzenia Wspólników: Maria </w:t>
      </w:r>
      <w:proofErr w:type="spellStart"/>
      <w:r>
        <w:t>Michułka</w:t>
      </w:r>
      <w:proofErr w:type="spellEnd"/>
      <w:r>
        <w:t xml:space="preserve"> </w:t>
      </w:r>
    </w:p>
    <w:p w:rsidR="00D0190E" w:rsidRDefault="00D0190E" w:rsidP="00D0190E">
      <w:pPr>
        <w:spacing w:before="120" w:after="100" w:afterAutospacing="1" w:line="360" w:lineRule="auto"/>
      </w:pPr>
      <w:r>
        <w:t xml:space="preserve">Protokolant: Szymon </w:t>
      </w:r>
      <w:proofErr w:type="spellStart"/>
      <w:r>
        <w:t>Fruba</w:t>
      </w:r>
      <w:proofErr w:type="spellEnd"/>
      <w:r>
        <w:t>.</w:t>
      </w:r>
      <w:r>
        <w:tab/>
        <w:t>.</w:t>
      </w:r>
    </w:p>
    <w:p w:rsidR="00D0190E" w:rsidRDefault="00D0190E" w:rsidP="00D0190E">
      <w:pPr>
        <w:spacing w:before="120" w:after="100" w:afterAutospacing="1" w:line="360" w:lineRule="auto"/>
      </w:pPr>
    </w:p>
    <w:p w:rsidR="00474C45" w:rsidRDefault="00D0190E" w:rsidP="00D0190E">
      <w:pPr>
        <w:spacing w:before="120" w:after="100" w:afterAutospacing="1" w:line="360" w:lineRule="auto"/>
      </w:pP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3855A6"/>
    <w:multiLevelType w:val="hybridMultilevel"/>
    <w:tmpl w:val="296EE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965D5"/>
    <w:multiLevelType w:val="hybridMultilevel"/>
    <w:tmpl w:val="D6DC5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C41FB"/>
    <w:multiLevelType w:val="hybridMultilevel"/>
    <w:tmpl w:val="F1E68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D6AC0"/>
    <w:multiLevelType w:val="hybridMultilevel"/>
    <w:tmpl w:val="3B98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D6AA1"/>
    <w:multiLevelType w:val="hybridMultilevel"/>
    <w:tmpl w:val="D5104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57E84"/>
    <w:multiLevelType w:val="hybridMultilevel"/>
    <w:tmpl w:val="D5361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3E37"/>
    <w:multiLevelType w:val="hybridMultilevel"/>
    <w:tmpl w:val="22687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90E"/>
    <w:rsid w:val="00120191"/>
    <w:rsid w:val="00277607"/>
    <w:rsid w:val="003370BE"/>
    <w:rsid w:val="00355AE8"/>
    <w:rsid w:val="003A3F6B"/>
    <w:rsid w:val="006812B6"/>
    <w:rsid w:val="00795929"/>
    <w:rsid w:val="008674D6"/>
    <w:rsid w:val="00A2306A"/>
    <w:rsid w:val="00A4012C"/>
    <w:rsid w:val="00AA7C76"/>
    <w:rsid w:val="00B22D14"/>
    <w:rsid w:val="00D0190E"/>
    <w:rsid w:val="00E1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1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1250</Words>
  <Characters>7501</Characters>
  <Application>Microsoft Office Word</Application>
  <DocSecurity>0</DocSecurity>
  <Lines>62</Lines>
  <Paragraphs>17</Paragraphs>
  <ScaleCrop>false</ScaleCrop>
  <Company>UMW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1</cp:revision>
  <dcterms:created xsi:type="dcterms:W3CDTF">2022-03-03T14:01:00Z</dcterms:created>
  <dcterms:modified xsi:type="dcterms:W3CDTF">2022-03-03T14:07:00Z</dcterms:modified>
</cp:coreProperties>
</file>