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5"/>
        <w:rPr>
          <w:rFonts w:ascii="Verdana" w:hAnsi="Verdana"/>
          <w:b/>
          <w:b/>
          <w:bCs/>
          <w:sz w:val="24"/>
        </w:rPr>
      </w:pPr>
      <w:r>
        <w:rPr>
          <w:rFonts w:ascii="Verdana" w:hAnsi="Verdana"/>
          <w:b/>
          <w:bCs/>
          <w:sz w:val="24"/>
        </w:rPr>
        <w:t>OGŁOSZENIE</w:t>
      </w:r>
    </w:p>
    <w:p>
      <w:pPr>
        <w:pStyle w:val="Normal"/>
        <w:rPr/>
      </w:pPr>
      <w:r>
        <w:rPr/>
      </w:r>
    </w:p>
    <w:p>
      <w:pPr>
        <w:pStyle w:val="Nagwek2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PREZYDENT WROCŁAWIA</w:t>
      </w:r>
    </w:p>
    <w:p>
      <w:pPr>
        <w:pStyle w:val="BodyText2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na podstawie Zarządzenia nr 5740/21 Prezydenta Wrocławia</w:t>
      </w:r>
    </w:p>
    <w:p>
      <w:pPr>
        <w:pStyle w:val="BodyText2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z dnia 23 lipca 2021 roku w sprawie określenia zasad udostępniani terenów Gminy Wrocław na cele prowadzenia handlu okrężnego, targowiskowego oraz miejsc spotkań</w:t>
      </w:r>
    </w:p>
    <w:p>
      <w:pPr>
        <w:pStyle w:val="BodyText2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ogłasza losowanie miejsc </w:t>
      </w:r>
    </w:p>
    <w:p>
      <w:pPr>
        <w:pStyle w:val="BodyText2"/>
        <w:tabs>
          <w:tab w:val="clear" w:pos="708"/>
          <w:tab w:val="left" w:pos="540" w:leader="none"/>
        </w:tabs>
        <w:ind w:left="360" w:hanging="360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w celu prowadzenia sprzedaży w miejscach przeznaczonych  do handlu poza zorganizowanymi placami targowymi na terenie miasta Wrocławia</w:t>
      </w:r>
    </w:p>
    <w:p>
      <w:pPr>
        <w:pStyle w:val="Normal"/>
        <w:jc w:val="center"/>
        <w:rPr>
          <w:rFonts w:ascii="Verdana" w:hAnsi="Verdana"/>
          <w:sz w:val="26"/>
        </w:rPr>
      </w:pPr>
      <w:r>
        <w:rPr>
          <w:rFonts w:ascii="Verdana" w:hAnsi="Verdana"/>
          <w:sz w:val="26"/>
        </w:rPr>
      </w:r>
    </w:p>
    <w:p>
      <w:pPr>
        <w:pStyle w:val="Normal"/>
        <w:jc w:val="center"/>
        <w:rPr>
          <w:rFonts w:ascii="Verdana" w:hAnsi="Verdana"/>
          <w:sz w:val="26"/>
        </w:rPr>
      </w:pPr>
      <w:r>
        <w:rPr>
          <w:rFonts w:ascii="Verdana" w:hAnsi="Verdana"/>
          <w:sz w:val="26"/>
        </w:rPr>
      </w:r>
    </w:p>
    <w:p>
      <w:pPr>
        <w:pStyle w:val="Normal"/>
        <w:jc w:val="center"/>
        <w:rPr>
          <w:rFonts w:ascii="Verdana" w:hAnsi="Verdana"/>
          <w:sz w:val="26"/>
        </w:rPr>
      </w:pPr>
      <w:r>
        <w:rPr>
          <w:rFonts w:ascii="Verdana" w:hAnsi="Verdana"/>
          <w:sz w:val="26"/>
        </w:rPr>
      </w:r>
    </w:p>
    <w:tbl>
      <w:tblPr>
        <w:tblW w:w="9246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539"/>
        <w:gridCol w:w="1107"/>
        <w:gridCol w:w="3106"/>
        <w:gridCol w:w="15"/>
        <w:gridCol w:w="4478"/>
      </w:tblGrid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miejsca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Lokalizacja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Branża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315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Skwer Zygmunta Krasińskiego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316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lang w:val="de-DE"/>
              </w:rPr>
            </w:pPr>
            <w:r>
              <w:rPr>
                <w:b/>
                <w:sz w:val="22"/>
                <w:szCs w:val="22"/>
                <w:lang w:val="de-DE"/>
              </w:rPr>
              <w:t>Skwer Św.O. Damiana de Veuster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317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Zieleniec Aleksandry Natalii - Świat przy ul. Stacyjnej - Legnickiej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318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 xml:space="preserve">Park  Szczytnicki  obok placu zabaw przy ul. Różyckiego 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319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Szczytnicki przy Kościele pw. Św Jana Nepomucena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320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Skwer im. Zbyszka Cybulskiego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7.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321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Zieleniec przy ul. Partyzantów/Kosynierów Gdańskich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sz w:val="22"/>
                <w:szCs w:val="22"/>
              </w:rPr>
              <w:t xml:space="preserve">mała gastronomia - napoje (tj. kawa, herbata, lemoniada, soki, woda, </w:t>
            </w:r>
            <w:r>
              <w:rPr>
                <w:bCs/>
                <w:sz w:val="22"/>
                <w:szCs w:val="22"/>
              </w:rPr>
              <w:t>koktajle owocowe</w:t>
            </w:r>
            <w:r>
              <w:rPr>
                <w:sz w:val="22"/>
                <w:szCs w:val="22"/>
              </w:rPr>
              <w:t>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322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Zieleniec przy ul. Partyzantów/Kosynierów Gdańskich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nr 323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Biskupiński przy ul. Wojtkiewicza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325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  <w:lang w:val="de-DE"/>
              </w:rPr>
            </w:pPr>
            <w:r>
              <w:rPr>
                <w:b/>
                <w:sz w:val="22"/>
                <w:szCs w:val="22"/>
                <w:lang w:val="de-DE"/>
              </w:rPr>
              <w:t>Park Staszica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de-DE"/>
              </w:rPr>
            </w:pPr>
            <w:r>
              <w:rPr>
                <w:b/>
                <w:sz w:val="22"/>
                <w:szCs w:val="22"/>
                <w:lang w:val="de-DE"/>
              </w:rPr>
              <w:t>11.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326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S. Tołpy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2"/>
                <w:szCs w:val="22"/>
              </w:rPr>
              <w:t xml:space="preserve">mała gastronomia - napoje (tj. kawa, herbata, lemoniada, soki, woda, </w:t>
            </w:r>
            <w:r>
              <w:rPr>
                <w:bCs/>
                <w:sz w:val="22"/>
                <w:szCs w:val="22"/>
              </w:rPr>
              <w:t>koktajle owocowe</w:t>
            </w:r>
            <w:r>
              <w:rPr>
                <w:sz w:val="22"/>
                <w:szCs w:val="22"/>
              </w:rPr>
              <w:t xml:space="preserve">). 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327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S. Tołpy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328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Wzgórze Słowiańskie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sz w:val="22"/>
                <w:szCs w:val="22"/>
              </w:rPr>
              <w:t xml:space="preserve">mała gastronomia, w szczególności: wata cukrowa, lody, precle, kukurydza w kolbach, popcorn, napoje (tj. kawa, herbata, lemoniada, soki, woda, </w:t>
            </w:r>
            <w:r>
              <w:rPr>
                <w:bCs/>
                <w:sz w:val="22"/>
                <w:szCs w:val="22"/>
              </w:rPr>
              <w:t>koktajle owocowe</w:t>
            </w:r>
            <w:r>
              <w:rPr>
                <w:sz w:val="22"/>
                <w:szCs w:val="22"/>
              </w:rPr>
              <w:t>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14.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329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Zieleniec przy ul. Łukasiewicza – Skwer Ireny Sendlerowej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15.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330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Brochowski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331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Wschodni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2"/>
                <w:szCs w:val="22"/>
              </w:rPr>
              <w:t xml:space="preserve">mała gastronomia - napoje (tj. kawa, herbata, lemoniada, soki, woda, </w:t>
            </w:r>
            <w:r>
              <w:rPr>
                <w:bCs/>
                <w:sz w:val="22"/>
                <w:szCs w:val="22"/>
              </w:rPr>
              <w:t>koktajle owocowe</w:t>
            </w:r>
            <w:r>
              <w:rPr>
                <w:sz w:val="22"/>
                <w:szCs w:val="22"/>
              </w:rPr>
              <w:t xml:space="preserve">). 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17.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332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Wschodni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18.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333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Skowroni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2"/>
                <w:szCs w:val="22"/>
              </w:rPr>
              <w:t xml:space="preserve">mała gastronomia - napoje (tj. kawa, herbata, lemoniada, soki, woda, </w:t>
            </w:r>
            <w:r>
              <w:rPr>
                <w:bCs/>
                <w:sz w:val="22"/>
                <w:szCs w:val="22"/>
              </w:rPr>
              <w:t>koktajle owocowe</w:t>
            </w:r>
            <w:r>
              <w:rPr>
                <w:sz w:val="22"/>
                <w:szCs w:val="22"/>
              </w:rPr>
              <w:t xml:space="preserve">). 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19.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334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Skowroni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20.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335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Tarnogajski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21.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Słoneczny na Gaju przy ul. Orzechowej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22.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337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Kleciński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23.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338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Zieleniec przy ul. Anielewicza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24.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339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im. Langiewicza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25.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340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Wspólnotowy Ślężański Mamut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26.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342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Zachodni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27.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344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Popowicki –polana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28.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345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przy ul. Bajana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29.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346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Zieleniec przy Ługowinie przy ul. Żernickiej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30.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347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Leśnicki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31.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348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Zieleniec przy ul. Kasprowicza 45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32.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349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Kasprowicza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33.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350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Marii Dąbrowskiej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34.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nr 351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1000-lecia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35.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nr 366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Grabiszyński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36.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nr 367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Grabiszyński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37.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nr 368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Park Grabiszyński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Cs/>
                <w:sz w:val="22"/>
                <w:szCs w:val="22"/>
              </w:rPr>
              <w:t>mała gastronomia, w szczególności: wata cukrowa, lody, precle, kukurydza w kolbach, popcorn, napoje (tj. kawa, herbata, lemoniada, soki, woda, koktajle owocowe).</w:t>
            </w:r>
          </w:p>
        </w:tc>
      </w:tr>
    </w:tbl>
    <w:p>
      <w:pPr>
        <w:pStyle w:val="Normal"/>
        <w:ind w:left="360" w:firstLine="348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ind w:left="360" w:firstLine="348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Mapki do lokalizacji znajdują się w osobnym załączniku nr 1 do ogłoszenia.</w:t>
      </w:r>
    </w:p>
    <w:p>
      <w:pPr>
        <w:pStyle w:val="Normal"/>
        <w:ind w:left="360" w:hanging="0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numPr>
          <w:ilvl w:val="0"/>
          <w:numId w:val="9"/>
        </w:numPr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Losowanie </w:t>
      </w:r>
      <w:r>
        <w:rPr>
          <w:rFonts w:ascii="Verdana" w:hAnsi="Verdana"/>
          <w:sz w:val="20"/>
          <w:szCs w:val="20"/>
        </w:rPr>
        <w:t xml:space="preserve">odbędzie się w Biurze Rozwoju Gospodarczego Urzędu Miejskiego Wrocławia (BRG), </w:t>
      </w:r>
      <w:r>
        <w:rPr>
          <w:rFonts w:ascii="Verdana" w:hAnsi="Verdana"/>
          <w:bCs/>
          <w:sz w:val="20"/>
          <w:szCs w:val="20"/>
        </w:rPr>
        <w:t>50-032 Wrocław, ul. Świdnicka 53; w pok. 314, III piętro</w:t>
      </w:r>
      <w:r>
        <w:rPr>
          <w:rFonts w:ascii="Verdana" w:hAnsi="Verdana"/>
          <w:sz w:val="20"/>
          <w:szCs w:val="20"/>
        </w:rPr>
        <w:t xml:space="preserve">  w dniu</w:t>
      </w:r>
      <w:r>
        <w:rPr>
          <w:rFonts w:ascii="Verdana" w:hAnsi="Verdana"/>
          <w:b/>
          <w:bCs/>
          <w:sz w:val="20"/>
          <w:szCs w:val="20"/>
        </w:rPr>
        <w:t xml:space="preserve"> 17.03.2022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roku (czwartek)</w:t>
      </w:r>
      <w:r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b/>
          <w:sz w:val="20"/>
          <w:szCs w:val="20"/>
        </w:rPr>
        <w:t>Ze względu na sytuację dotyczącą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koronawirusa losowanie odbędzie się bez udziału wnioskodawców przy użyciu systemu informatycznego.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losowania mogą przystąpić przedsiębiorcy, którzy w terminie do dnia               </w:t>
      </w:r>
      <w:r>
        <w:rPr>
          <w:rFonts w:ascii="Verdana" w:hAnsi="Verdana"/>
          <w:b/>
          <w:bCs/>
          <w:sz w:val="20"/>
          <w:szCs w:val="20"/>
        </w:rPr>
        <w:t>11.03.2022 roku (poniedziałek)</w:t>
      </w:r>
      <w:r>
        <w:rPr>
          <w:rFonts w:ascii="Verdana" w:hAnsi="Verdana"/>
          <w:sz w:val="20"/>
          <w:szCs w:val="20"/>
        </w:rPr>
        <w:t xml:space="preserve">, złożą </w:t>
      </w:r>
      <w:r>
        <w:rPr>
          <w:rFonts w:ascii="Verdana" w:hAnsi="Verdana"/>
          <w:b/>
          <w:bCs/>
          <w:sz w:val="20"/>
          <w:szCs w:val="20"/>
        </w:rPr>
        <w:t xml:space="preserve">kompletny i czytelny wniosek </w:t>
      </w:r>
      <w:r>
        <w:rPr>
          <w:rFonts w:ascii="Verdana" w:hAnsi="Verdana"/>
          <w:sz w:val="20"/>
          <w:szCs w:val="20"/>
        </w:rPr>
        <w:t>zgłoszeniowy uczestnictwa w losowaniu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na adres pocztowy: </w:t>
      </w:r>
      <w:r>
        <w:rPr>
          <w:rFonts w:ascii="Verdana" w:hAnsi="Verdana"/>
          <w:b/>
          <w:bCs/>
          <w:sz w:val="20"/>
          <w:szCs w:val="20"/>
        </w:rPr>
        <w:t>Biura</w:t>
      </w:r>
      <w:r>
        <w:rPr>
          <w:rFonts w:eastAsia="Calibri" w:ascii="Verdana" w:hAnsi="Verdana"/>
          <w:b/>
          <w:bCs/>
          <w:sz w:val="20"/>
          <w:szCs w:val="20"/>
        </w:rPr>
        <w:t xml:space="preserve"> Rozwoju Gospodarczego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eastAsia="Calibri" w:ascii="Verdana" w:hAnsi="Verdana"/>
          <w:b/>
          <w:bCs/>
          <w:sz w:val="20"/>
          <w:szCs w:val="20"/>
        </w:rPr>
        <w:t>Urzędu Miejskiego Wrocławi</w:t>
      </w:r>
      <w:r>
        <w:rPr>
          <w:rFonts w:ascii="Verdana" w:hAnsi="Verdana"/>
          <w:b/>
          <w:bCs/>
          <w:sz w:val="20"/>
          <w:szCs w:val="20"/>
        </w:rPr>
        <w:t>a, ul. Świdnicka</w:t>
      </w:r>
      <w:r>
        <w:rPr>
          <w:rFonts w:eastAsia="Calibri" w:ascii="Verdana" w:hAnsi="Verdana"/>
          <w:b/>
          <w:bCs/>
          <w:sz w:val="20"/>
          <w:szCs w:val="20"/>
        </w:rPr>
        <w:t xml:space="preserve"> 53, </w:t>
      </w:r>
      <w:r>
        <w:rPr>
          <w:rFonts w:ascii="Verdana" w:hAnsi="Verdana"/>
          <w:b/>
          <w:bCs/>
          <w:sz w:val="20"/>
          <w:szCs w:val="20"/>
        </w:rPr>
        <w:t xml:space="preserve">50-030 Wrocław </w:t>
      </w:r>
      <w:r>
        <w:rPr>
          <w:rFonts w:ascii="Verdana" w:hAnsi="Verdana"/>
          <w:bCs/>
          <w:sz w:val="20"/>
          <w:szCs w:val="20"/>
        </w:rPr>
        <w:t xml:space="preserve">(decyduje data wpływu do sekretariatu) lub </w:t>
      </w:r>
      <w:r>
        <w:rPr>
          <w:rFonts w:cs="Calibri" w:ascii="Verdana" w:hAnsi="Verdana"/>
          <w:color w:val="000000"/>
          <w:sz w:val="20"/>
          <w:szCs w:val="20"/>
        </w:rPr>
        <w:t xml:space="preserve">drogą elektroniczną </w:t>
      </w:r>
      <w:r>
        <w:rPr>
          <w:rFonts w:ascii="Verdana" w:hAnsi="Verdana"/>
          <w:bCs/>
          <w:sz w:val="20"/>
          <w:szCs w:val="20"/>
        </w:rPr>
        <w:t>na adres</w:t>
      </w:r>
      <w:r>
        <w:rPr>
          <w:rFonts w:ascii="Verdana" w:hAnsi="Verdana"/>
          <w:b/>
          <w:bCs/>
          <w:sz w:val="20"/>
          <w:szCs w:val="20"/>
        </w:rPr>
        <w:t xml:space="preserve"> e-mail: </w:t>
      </w:r>
      <w:hyperlink r:id="rId2">
        <w:r>
          <w:rPr>
            <w:rStyle w:val="Czeinternetowe"/>
            <w:rFonts w:ascii="Verdana" w:hAnsi="Verdana"/>
            <w:sz w:val="20"/>
            <w:szCs w:val="20"/>
          </w:rPr>
          <w:t>brg@um.wroc.pl</w:t>
        </w:r>
      </w:hyperlink>
      <w:r>
        <w:rPr>
          <w:rFonts w:ascii="Verdana" w:hAnsi="Verdana"/>
          <w:bCs/>
          <w:sz w:val="20"/>
          <w:szCs w:val="20"/>
        </w:rPr>
        <w:t>.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Dopuszcza się wnioski zeskanowane wysyłane w formie elektronicznej, które powinny być czytelne i zapisane wyłącznie w formacie PDF jako załącznik. Nie dopuszcza się zdjęć wniosków zrobionych z telefonu komórkowego. Każdy wniosek należy wysyłać w osobnym mailu. W przypadku kilku wniosków wysłanych w jednym mailu wszystkie wnioski zostaną odrzucone.</w:t>
      </w:r>
    </w:p>
    <w:p>
      <w:pPr>
        <w:pStyle w:val="Normal"/>
        <w:ind w:left="720" w:hanging="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Wnioski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można też złożyć osobiście do Kancelarii Ogólnej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przy ul. G. Zapolskiej 4 (od poniedziałku do piątku w godz. 8.00.-15.30). </w:t>
      </w:r>
    </w:p>
    <w:p>
      <w:pPr>
        <w:pStyle w:val="Normal"/>
        <w:ind w:left="72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                  </w:t>
      </w: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    </w:t>
      </w:r>
    </w:p>
    <w:p>
      <w:pPr>
        <w:pStyle w:val="Tretekstu"/>
        <w:numPr>
          <w:ilvl w:val="0"/>
          <w:numId w:val="10"/>
        </w:numPr>
        <w:spacing w:before="0" w:after="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Wniosek powinien być czytelnie wypełniony (na komputerze lub drukowanymi literami) i zawierać m.in.: nazwę i adres przedsiębiorcy, telefon kontaktowy, e-mail, NIP, datę sporządzenia wniosku, zgodę na przetwarzanie danych osobowych, a także wybraną jedną lokalizację wraz z branżą (zgodną z ww. tabelą). Ze względu na korzystanie z programu informatycznego,  podanie adresu e-mail na wniosku zapewnia otrzymanie automatycznej odpowiedzi z sytemu po zakończeniu losowania </w:t>
      </w:r>
      <w:r>
        <w:rPr>
          <w:rFonts w:ascii="Verdana" w:hAnsi="Verdana"/>
          <w:sz w:val="20"/>
          <w:szCs w:val="20"/>
          <w:u w:val="single"/>
        </w:rPr>
        <w:t>i jest obowiązkowe</w:t>
      </w:r>
      <w:r>
        <w:rPr>
          <w:rFonts w:ascii="Verdana" w:hAnsi="Verdana"/>
          <w:sz w:val="20"/>
          <w:szCs w:val="20"/>
        </w:rPr>
        <w:t>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Tretekstu"/>
        <w:numPr>
          <w:ilvl w:val="0"/>
          <w:numId w:val="7"/>
        </w:numPr>
        <w:spacing w:before="0" w:after="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Po upływie terminu, o którym mowa w pkt 2, nie będą przyjmowane kolejne wnioski do losowania, a we wnioskach już złożonych nie będzie można dokonywać zmian. Wnioski niekompletne nie zostaną uwzględnione w losowaniu.</w:t>
      </w:r>
    </w:p>
    <w:p>
      <w:pPr>
        <w:pStyle w:val="Tretekstu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</w:r>
    </w:p>
    <w:p>
      <w:pPr>
        <w:pStyle w:val="Tretekstu"/>
        <w:numPr>
          <w:ilvl w:val="0"/>
          <w:numId w:val="7"/>
        </w:numPr>
        <w:spacing w:before="0" w:after="0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Przedsiębiorca może złożyć tylko jeden wniosek zgłoszeniowy uczestnictwa  w losowaniu.</w:t>
      </w:r>
    </w:p>
    <w:p>
      <w:pPr>
        <w:pStyle w:val="ListParagrap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Web"/>
        <w:numPr>
          <w:ilvl w:val="0"/>
          <w:numId w:val="3"/>
        </w:numPr>
        <w:spacing w:beforeAutospacing="0" w:before="0" w:after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 wniosku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muszą być dołączone następujące informacje/dokumenty</w:t>
      </w:r>
      <w:r>
        <w:rPr>
          <w:rFonts w:ascii="Verdana" w:hAnsi="Verdana"/>
          <w:sz w:val="20"/>
          <w:szCs w:val="20"/>
        </w:rPr>
        <w:t xml:space="preserve">: 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720" w:leader="none"/>
          <w:tab w:val="left" w:pos="1080" w:leader="none"/>
        </w:tabs>
        <w:ind w:left="2880" w:hanging="25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zależności od statusu prawnego podmiotu - w przypadku:</w:t>
      </w:r>
    </w:p>
    <w:p>
      <w:pPr>
        <w:pStyle w:val="Normal"/>
        <w:numPr>
          <w:ilvl w:val="0"/>
          <w:numId w:val="4"/>
        </w:numPr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osoby fizycznej - aktualny wydruk z wpisu do CEIDG (Centralna Ewidencja                   i Informacja o Działalności Gospodarczej) lub oświadczenie/zaświadczenie wskazujące numer identyfikacji podatkowej NIP,</w:t>
      </w:r>
    </w:p>
    <w:p>
      <w:pPr>
        <w:pStyle w:val="Normal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spółki cywilnej - numer REGON oraz aktualny wydruk wpisu do Głównego Urzędu Statystycznego, oświadczenie/zaświadczenie wskazujące numer identyfikacji podatkowej NIP,</w:t>
      </w:r>
    </w:p>
    <w:p>
      <w:pPr>
        <w:pStyle w:val="Normal"/>
        <w:numPr>
          <w:ilvl w:val="0"/>
          <w:numId w:val="4"/>
        </w:numPr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spółki prawa handlowego - aktualny wydruk z wpisu do Krajowego Rejestru Sądowego lub oświadczenie wskazujące nr KRS lub oświadczenie/zaświadczenie wskazujące numer identyfikacji podatkowej NIP,                                    </w:t>
      </w:r>
    </w:p>
    <w:p>
      <w:pPr>
        <w:pStyle w:val="Normal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producenta rolnego - kopię imiennej decyzji  w sprawie podatku rolnego za rok bieżący, oświadczenie/zaświadczenie wskazujące numer identyfikacji podatkowej NIP;</w:t>
      </w:r>
    </w:p>
    <w:p>
      <w:pPr>
        <w:pStyle w:val="Normal"/>
        <w:ind w:firstLine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 oświadczenie o  niezaleganiu z płatnościami wobec Gminy;</w:t>
      </w:r>
    </w:p>
    <w:p>
      <w:pPr>
        <w:pStyle w:val="Normal"/>
        <w:ind w:left="72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3) oświadczenie, że wnioskodawca zapoznał się z regulaminem przeprowadzania losowania;</w:t>
      </w:r>
    </w:p>
    <w:p>
      <w:pPr>
        <w:pStyle w:val="Normal"/>
        <w:ind w:firstLine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4) oświadczenie o zgodzie na przetwarzanie danych osobowych;</w:t>
      </w:r>
    </w:p>
    <w:p>
      <w:pPr>
        <w:pStyle w:val="Normal"/>
        <w:ind w:firstLine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5) oświadczenie o zapoznaniu się z warunkami do handlu na wybranej do losowania  </w:t>
      </w:r>
    </w:p>
    <w:p>
      <w:pPr>
        <w:pStyle w:val="Normal"/>
        <w:ind w:firstLine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>lokalizacji;</w:t>
      </w:r>
    </w:p>
    <w:p>
      <w:pPr>
        <w:pStyle w:val="Normal"/>
        <w:tabs>
          <w:tab w:val="clear" w:pos="708"/>
          <w:tab w:val="left" w:pos="720" w:leader="none"/>
        </w:tabs>
        <w:ind w:left="426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6) zdjęcie/ wizualizację pojazdu/wózka oraz oświadczenie o sprzedaży wyłącznie                 z pojazdu wskazanego we wniosku;</w:t>
      </w:r>
    </w:p>
    <w:p>
      <w:pPr>
        <w:pStyle w:val="Normal"/>
        <w:ind w:left="426" w:hanging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 xml:space="preserve">7) </w:t>
      </w:r>
      <w:r>
        <w:rPr>
          <w:rFonts w:ascii="Verdana" w:hAnsi="Verdana"/>
          <w:sz w:val="20"/>
        </w:rPr>
        <w:t>oświadczenie, że w celu ochrony i poszanowania środowiska naturalnego w prowadzonej działalności handlowej, przedsiębiorca będzie dążył do korzystania z wyrobów biodegradowalnych oraz wielokrotnego użytku lub ulegających kompostowaniu albo biodegradacji,</w:t>
      </w:r>
    </w:p>
    <w:p>
      <w:pPr>
        <w:pStyle w:val="Normal"/>
        <w:ind w:firstLine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</w:t>
      </w:r>
    </w:p>
    <w:p>
      <w:pPr>
        <w:pStyle w:val="NormalWeb"/>
        <w:tabs>
          <w:tab w:val="clear" w:pos="708"/>
          <w:tab w:val="left" w:pos="1800" w:leader="none"/>
        </w:tabs>
        <w:spacing w:beforeAutospacing="0" w:before="0" w:afterAutospacing="0" w:after="0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  <w:t xml:space="preserve"> </w:t>
      </w:r>
      <w:r>
        <w:rPr>
          <w:rFonts w:eastAsia="Times New Roman" w:ascii="Verdana" w:hAnsi="Verdana"/>
          <w:sz w:val="20"/>
          <w:szCs w:val="20"/>
        </w:rPr>
        <w:t>Wzór wniosku jest dostępny na stronie internetowej, tj.:</w:t>
      </w:r>
    </w:p>
    <w:p>
      <w:pPr>
        <w:pStyle w:val="NormalWeb"/>
        <w:tabs>
          <w:tab w:val="clear" w:pos="708"/>
          <w:tab w:val="left" w:pos="1800" w:leader="none"/>
        </w:tabs>
        <w:spacing w:beforeAutospacing="0" w:before="0" w:afterAutospacing="0" w:after="0"/>
        <w:jc w:val="left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  <w:t xml:space="preserve"> </w:t>
      </w:r>
    </w:p>
    <w:p>
      <w:pPr>
        <w:pStyle w:val="NormalWeb"/>
        <w:tabs>
          <w:tab w:val="clear" w:pos="708"/>
          <w:tab w:val="left" w:pos="1800" w:leader="none"/>
        </w:tabs>
        <w:spacing w:beforeAutospacing="0" w:before="0" w:afterAutospacing="0" w:after="0"/>
        <w:jc w:val="left"/>
        <w:rPr>
          <w:rFonts w:ascii="Verdana" w:hAnsi="Verdana" w:eastAsia="Times New Roman"/>
          <w:color w:val="3366FF"/>
          <w:sz w:val="20"/>
          <w:szCs w:val="20"/>
        </w:rPr>
      </w:pPr>
      <w:hyperlink r:id="rId3">
        <w:r>
          <w:rPr>
            <w:rStyle w:val="Czeinternetowe"/>
            <w:rFonts w:ascii="Verdana" w:hAnsi="Verdana"/>
            <w:sz w:val="20"/>
            <w:szCs w:val="20"/>
          </w:rPr>
          <w:t>http://bip.um.wroc.pl/tenders/search?keyword=&amp;order=&amp;contracting=&amp;kind_id=44&amp;procedure_id=-1&amp;value_id=-1&amp;year=&amp;dateFrom=&amp;dateTo=&amp;status</w:t>
        </w:r>
      </w:hyperlink>
      <w:r>
        <w:rPr>
          <w:rFonts w:eastAsia="Times New Roman" w:ascii="Verdana" w:hAnsi="Verdana"/>
          <w:color w:val="3366FF"/>
          <w:sz w:val="20"/>
          <w:szCs w:val="20"/>
        </w:rPr>
        <w:t>=</w:t>
      </w:r>
    </w:p>
    <w:p>
      <w:pPr>
        <w:pStyle w:val="NormalWeb"/>
        <w:tabs>
          <w:tab w:val="clear" w:pos="708"/>
          <w:tab w:val="left" w:pos="1800" w:leader="none"/>
        </w:tabs>
        <w:spacing w:beforeAutospacing="0" w:before="0" w:afterAutospacing="0" w:after="0"/>
        <w:jc w:val="left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BodyTextIndent2"/>
        <w:numPr>
          <w:ilvl w:val="0"/>
          <w:numId w:val="3"/>
        </w:numPr>
        <w:spacing w:lineRule="auto" w:line="240" w:before="0" w:after="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Sprzedaż artykułów:</w:t>
      </w:r>
    </w:p>
    <w:p>
      <w:pPr>
        <w:pStyle w:val="BodyTextIndent2"/>
        <w:numPr>
          <w:ilvl w:val="1"/>
          <w:numId w:val="12"/>
        </w:numPr>
        <w:tabs>
          <w:tab w:val="clear" w:pos="708"/>
          <w:tab w:val="left" w:pos="1080" w:leader="none"/>
        </w:tabs>
        <w:spacing w:lineRule="auto" w:line="240" w:before="0" w:after="0"/>
        <w:ind w:left="1080" w:hanging="36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w poz. od 1 do 37 jest sprzedażą wyłącznie z pojazdu gastronomicznego typu wózek rowerowy lub wózek gastronomicznych pchany ręcznie.</w:t>
      </w:r>
    </w:p>
    <w:p>
      <w:pPr>
        <w:pStyle w:val="BodyTextIndent2"/>
        <w:spacing w:lineRule="auto" w:line="240" w:before="0" w:after="0"/>
        <w:ind w:left="1080" w:hanging="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</w:r>
    </w:p>
    <w:p>
      <w:pPr>
        <w:pStyle w:val="BodyTextIndent2"/>
        <w:spacing w:lineRule="auto" w:lin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WAŻNE! Pojazdy/wózki muszą być przystosowane do prowadzenia gastronomii/napojów i posiadać właściwy wpis dotyczący prowadzonej działalności gospodarczej wg Polskiej Klasyfikacji Gospodarczej (PKD) – tj. 56.10 B i/lub 56.30 Z.</w:t>
      </w:r>
    </w:p>
    <w:p>
      <w:pPr>
        <w:pStyle w:val="BodyTextIndent2"/>
        <w:spacing w:lineRule="auto" w:line="240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</w:r>
    </w:p>
    <w:p>
      <w:pPr>
        <w:pStyle w:val="BodyTextIndent2"/>
        <w:numPr>
          <w:ilvl w:val="0"/>
          <w:numId w:val="3"/>
        </w:numPr>
        <w:spacing w:lineRule="auto" w:lin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Opłata za miejsce, o którym mowa w pozycji od 1 do 37 wykazu, tj. miesięczna stawka netto wynosi: </w:t>
      </w:r>
    </w:p>
    <w:p>
      <w:pPr>
        <w:pStyle w:val="HTMLPreformatted"/>
        <w:numPr>
          <w:ilvl w:val="2"/>
          <w:numId w:val="8"/>
        </w:numPr>
        <w:jc w:val="both"/>
        <w:rPr>
          <w:rFonts w:ascii="Verdana" w:hAnsi="Verdana" w:cs="Times New Roman"/>
          <w:color w:val="000000"/>
        </w:rPr>
      </w:pPr>
      <w:r>
        <w:rPr>
          <w:rFonts w:cs="Times New Roman" w:ascii="Verdana" w:hAnsi="Verdana"/>
          <w:color w:val="000000"/>
        </w:rPr>
        <w:t>miejsce o powierzchni do 3 m</w:t>
      </w:r>
      <w:r>
        <w:rPr>
          <w:rFonts w:cs="Times New Roman" w:ascii="Verdana" w:hAnsi="Verdana"/>
          <w:color w:val="000000"/>
          <w:vertAlign w:val="superscript"/>
        </w:rPr>
        <w:t>2</w:t>
      </w:r>
      <w:r>
        <w:rPr>
          <w:rFonts w:cs="Times New Roman" w:ascii="Verdana" w:hAnsi="Verdana"/>
          <w:color w:val="000000"/>
        </w:rPr>
        <w:t xml:space="preserve"> – 200 zł,</w:t>
      </w:r>
    </w:p>
    <w:p>
      <w:pPr>
        <w:pStyle w:val="HTMLPreformatted"/>
        <w:numPr>
          <w:ilvl w:val="2"/>
          <w:numId w:val="8"/>
        </w:numPr>
        <w:jc w:val="both"/>
        <w:rPr>
          <w:rFonts w:ascii="Verdana" w:hAnsi="Verdana" w:cs="Times New Roman"/>
          <w:color w:val="000000"/>
        </w:rPr>
      </w:pPr>
      <w:r>
        <w:rPr>
          <w:rFonts w:cs="Times New Roman" w:ascii="Verdana" w:hAnsi="Verdana"/>
          <w:color w:val="000000"/>
        </w:rPr>
        <w:t>miejsce o powierzchni powyżej 3 m</w:t>
      </w:r>
      <w:r>
        <w:rPr>
          <w:rFonts w:cs="Times New Roman" w:ascii="Verdana" w:hAnsi="Verdana"/>
          <w:color w:val="000000"/>
          <w:vertAlign w:val="superscript"/>
        </w:rPr>
        <w:t>2</w:t>
      </w:r>
      <w:r>
        <w:rPr>
          <w:rFonts w:cs="Times New Roman" w:ascii="Verdana" w:hAnsi="Verdana"/>
          <w:color w:val="000000"/>
        </w:rPr>
        <w:t xml:space="preserve"> do 6 m</w:t>
      </w:r>
      <w:r>
        <w:rPr>
          <w:rFonts w:cs="Times New Roman" w:ascii="Verdana" w:hAnsi="Verdana"/>
          <w:color w:val="000000"/>
          <w:vertAlign w:val="superscript"/>
        </w:rPr>
        <w:t>2</w:t>
      </w:r>
      <w:r>
        <w:rPr>
          <w:rFonts w:cs="Times New Roman" w:ascii="Verdana" w:hAnsi="Verdana"/>
          <w:color w:val="000000"/>
        </w:rPr>
        <w:t>– 300 zł,</w:t>
      </w:r>
    </w:p>
    <w:p>
      <w:pPr>
        <w:pStyle w:val="HTMLPreformatted"/>
        <w:numPr>
          <w:ilvl w:val="2"/>
          <w:numId w:val="8"/>
        </w:numPr>
        <w:jc w:val="both"/>
        <w:rPr>
          <w:rFonts w:ascii="Verdana" w:hAnsi="Verdana" w:cs="Times New Roman"/>
          <w:color w:val="000000"/>
        </w:rPr>
      </w:pPr>
      <w:r>
        <w:rPr>
          <w:rFonts w:cs="Times New Roman" w:ascii="Verdana" w:hAnsi="Verdana"/>
          <w:color w:val="000000"/>
        </w:rPr>
        <w:t>miejsce o powierzchni powyżej 6 m</w:t>
      </w:r>
      <w:r>
        <w:rPr>
          <w:rFonts w:cs="Times New Roman" w:ascii="Verdana" w:hAnsi="Verdana"/>
          <w:color w:val="000000"/>
          <w:vertAlign w:val="superscript"/>
        </w:rPr>
        <w:t>2</w:t>
      </w:r>
      <w:r>
        <w:rPr>
          <w:rFonts w:cs="Times New Roman" w:ascii="Verdana" w:hAnsi="Verdana"/>
          <w:color w:val="000000"/>
        </w:rPr>
        <w:t>– 400 zł.</w:t>
      </w:r>
    </w:p>
    <w:p>
      <w:pPr>
        <w:pStyle w:val="Normal"/>
        <w:tabs>
          <w:tab w:val="clear" w:pos="708"/>
          <w:tab w:val="left" w:pos="360" w:leader="none"/>
        </w:tabs>
        <w:ind w:left="360"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ind w:left="360"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  <w:t xml:space="preserve">Kwota zostanie powiększona o należny podatek VAT. </w:t>
      </w:r>
    </w:p>
    <w:p>
      <w:pPr>
        <w:pStyle w:val="Normal"/>
        <w:tabs>
          <w:tab w:val="clear" w:pos="708"/>
          <w:tab w:val="left" w:pos="360" w:leader="none"/>
        </w:tabs>
        <w:ind w:right="-110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numPr>
          <w:ilvl w:val="0"/>
          <w:numId w:val="3"/>
        </w:numPr>
        <w:ind w:left="900" w:right="-11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Wnioskodawca zobowiązany jest, przed przystąpieniem do losowania, zapoznać się z regulaminem losowania miejsc na prowadzenie sprzedaży  w ramach handlu okrężnego. Regulamin losowania dostępny jest w siedzibie Ogłaszającego losowanie – Biurze Rozwoju Gospodarczego we Wrocławiu przy   ul. Świdnickiej 53, pok.314, III piętro oraz na stronie internetowej,</w:t>
      </w:r>
    </w:p>
    <w:p>
      <w:pPr>
        <w:pStyle w:val="Normal"/>
        <w:ind w:left="900"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hyperlink r:id="rId4">
        <w:r>
          <w:rPr>
            <w:rStyle w:val="Czeinternetowe"/>
            <w:rFonts w:ascii="Verdana" w:hAnsi="Verdana"/>
            <w:sz w:val="20"/>
            <w:szCs w:val="20"/>
          </w:rPr>
          <w:t>https://baw.um.wroc.pl/UrzadMiastaWroclawia/document/62554/Zarz%C4%85dzenie-5740_21</w:t>
        </w:r>
      </w:hyperlink>
      <w:r>
        <w:rPr>
          <w:rFonts w:ascii="Verdana" w:hAnsi="Verdana"/>
          <w:sz w:val="20"/>
          <w:szCs w:val="20"/>
        </w:rPr>
        <w:t xml:space="preserve"> </w:t>
      </w:r>
    </w:p>
    <w:p>
      <w:pPr>
        <w:pStyle w:val="Normal"/>
        <w:ind w:left="360"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numPr>
          <w:ilvl w:val="0"/>
          <w:numId w:val="3"/>
        </w:numPr>
        <w:ind w:left="900" w:right="-11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Udostępnione lokalizacje </w:t>
      </w:r>
      <w:r>
        <w:rPr>
          <w:rFonts w:ascii="Verdana" w:hAnsi="Verdana"/>
          <w:b/>
          <w:sz w:val="20"/>
          <w:szCs w:val="20"/>
        </w:rPr>
        <w:t>nie posiadają</w:t>
      </w:r>
      <w:r>
        <w:rPr>
          <w:rFonts w:ascii="Verdana" w:hAnsi="Verdana"/>
          <w:sz w:val="20"/>
          <w:szCs w:val="20"/>
        </w:rPr>
        <w:t xml:space="preserve"> przyłączy mediów (woda, energia elektryczna, kanalizacja).</w:t>
      </w:r>
    </w:p>
    <w:p>
      <w:pPr>
        <w:pStyle w:val="Normal"/>
        <w:numPr>
          <w:ilvl w:val="0"/>
          <w:numId w:val="3"/>
        </w:numPr>
        <w:ind w:left="900" w:right="-110" w:hanging="540"/>
        <w:jc w:val="both"/>
        <w:rPr>
          <w:rFonts w:ascii="Verdana" w:hAnsi="Verdana"/>
          <w:sz w:val="20"/>
          <w:szCs w:val="20"/>
        </w:rPr>
      </w:pPr>
      <w:r>
        <w:rPr>
          <w:rFonts w:eastAsia="Calibri" w:cs="Helv" w:ascii="Verdana" w:hAnsi="Verdana" w:eastAsiaTheme="minorHAnsi"/>
          <w:color w:val="000000"/>
          <w:sz w:val="20"/>
          <w:szCs w:val="20"/>
          <w:lang w:eastAsia="en-US"/>
        </w:rPr>
        <w:t xml:space="preserve">Udostępnione lokalizacje nie posiadają dróg dojazdowych do wjeżdżania pojazdów samochodowych. Wózki oraz dostawy towarów (zaopatrzenie) do nich należy realizować </w:t>
      </w:r>
      <w:r>
        <w:rPr>
          <w:rFonts w:eastAsia="Calibri" w:cs="Helv" w:ascii="Verdana" w:hAnsi="Verdana" w:eastAsiaTheme="minorHAnsi"/>
          <w:b/>
          <w:color w:val="000000"/>
          <w:sz w:val="20"/>
          <w:szCs w:val="20"/>
          <w:lang w:eastAsia="en-US"/>
        </w:rPr>
        <w:t>bez użycia pojazdów samochodowych</w:t>
      </w:r>
      <w:r>
        <w:rPr>
          <w:rFonts w:eastAsia="Calibri" w:cs="Helv" w:ascii="Verdana" w:hAnsi="Verdana" w:eastAsiaTheme="minorHAnsi"/>
          <w:color w:val="000000"/>
          <w:sz w:val="20"/>
          <w:szCs w:val="20"/>
          <w:lang w:eastAsia="en-US"/>
        </w:rPr>
        <w:t xml:space="preserve"> (ręcznie).</w:t>
      </w:r>
    </w:p>
    <w:p>
      <w:pPr>
        <w:pStyle w:val="Normal"/>
        <w:ind w:left="900"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numPr>
          <w:ilvl w:val="0"/>
          <w:numId w:val="3"/>
        </w:numPr>
        <w:ind w:left="900" w:right="-11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Uczestnik, który wylosował miejsce wymienione w poz. od 1 do 37, zobowiązany jest do podpisania umowy w terminie 7 dni od daty losowania, pod rygorem utraty praw  do jej zawarcia. </w:t>
      </w:r>
    </w:p>
    <w:p>
      <w:pPr>
        <w:pStyle w:val="Normal"/>
        <w:ind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numPr>
          <w:ilvl w:val="0"/>
          <w:numId w:val="3"/>
        </w:numPr>
        <w:ind w:left="720" w:right="-11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Terminy umów: </w:t>
      </w:r>
    </w:p>
    <w:p>
      <w:pPr>
        <w:pStyle w:val="Normal"/>
        <w:numPr>
          <w:ilvl w:val="1"/>
          <w:numId w:val="3"/>
        </w:numPr>
        <w:ind w:left="1440" w:right="-11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umowa zawierana jest na okres </w:t>
      </w:r>
      <w:r>
        <w:rPr>
          <w:rFonts w:ascii="Verdana" w:hAnsi="Verdana"/>
          <w:b/>
          <w:bCs/>
          <w:sz w:val="20"/>
          <w:szCs w:val="20"/>
        </w:rPr>
        <w:t>12 miesięcy</w:t>
      </w:r>
      <w:r>
        <w:rPr>
          <w:rFonts w:ascii="Verdana" w:hAnsi="Verdana"/>
          <w:sz w:val="20"/>
          <w:szCs w:val="20"/>
        </w:rPr>
        <w:t>, z możliwością przedłużenia do 3 lat (poz. od 1 do 37).</w:t>
      </w:r>
    </w:p>
    <w:p>
      <w:pPr>
        <w:pStyle w:val="Normal"/>
        <w:ind w:left="852"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numPr>
          <w:ilvl w:val="0"/>
          <w:numId w:val="3"/>
        </w:numPr>
        <w:ind w:left="900" w:right="-11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>Podmiot biorący udział w losowaniu może uzyskać tylko jeden tytuł do  lokalizacji na ten sam okres czasu, tj. zawrzeć wyłącznie jedną umowę cywilnoprawną.</w:t>
      </w:r>
    </w:p>
    <w:p>
      <w:pPr>
        <w:pStyle w:val="Normal"/>
        <w:tabs>
          <w:tab w:val="clear" w:pos="708"/>
          <w:tab w:val="left" w:pos="360" w:leader="none"/>
        </w:tabs>
        <w:ind w:right="-110" w:hanging="0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</w:t>
      </w:r>
    </w:p>
    <w:p>
      <w:pPr>
        <w:pStyle w:val="Normal"/>
        <w:numPr>
          <w:ilvl w:val="0"/>
          <w:numId w:val="3"/>
        </w:numPr>
        <w:ind w:left="90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Warunkiem zawarcia umowy jest wpłacenie kaucji w wysokości </w:t>
      </w:r>
      <w:r>
        <w:rPr>
          <w:rFonts w:ascii="Verdana" w:hAnsi="Verdana"/>
          <w:b/>
          <w:bCs/>
          <w:sz w:val="20"/>
          <w:szCs w:val="20"/>
        </w:rPr>
        <w:t>1000,00zł</w:t>
      </w:r>
      <w:r>
        <w:rPr>
          <w:rFonts w:ascii="Verdana" w:hAnsi="Verdana"/>
          <w:sz w:val="20"/>
          <w:szCs w:val="20"/>
        </w:rPr>
        <w:t xml:space="preserve">              z tytułu zabezpieczenia należności i roszczeń Gminy Wrocław wynikających                   z umowy.   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numPr>
          <w:ilvl w:val="0"/>
          <w:numId w:val="3"/>
        </w:numPr>
        <w:ind w:left="90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Ogłaszający losowanie uprawniony jest do jego odwołania bez podania przyczyn lub unieważnienia losowania wraz z uzasadnieniem.</w:t>
      </w:r>
    </w:p>
    <w:p>
      <w:pPr>
        <w:pStyle w:val="Gwka"/>
        <w:tabs>
          <w:tab w:val="left" w:pos="360" w:leader="none"/>
          <w:tab w:val="center" w:pos="4536" w:leader="none"/>
          <w:tab w:val="right" w:pos="9072" w:leader="none"/>
        </w:tabs>
        <w:ind w:firstLine="45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Dodatkowe informacje </w:t>
      </w:r>
      <w:r>
        <w:rPr>
          <w:rFonts w:ascii="Verdana" w:hAnsi="Verdana"/>
          <w:bCs/>
          <w:sz w:val="20"/>
          <w:szCs w:val="20"/>
        </w:rPr>
        <w:t xml:space="preserve">można uzyskać </w:t>
      </w:r>
      <w:r>
        <w:rPr>
          <w:rFonts w:ascii="Verdana" w:hAnsi="Verdana"/>
          <w:b/>
          <w:bCs/>
          <w:sz w:val="20"/>
          <w:szCs w:val="20"/>
        </w:rPr>
        <w:t xml:space="preserve">telefonicznie </w:t>
      </w:r>
      <w:r>
        <w:rPr>
          <w:rFonts w:ascii="Verdana" w:hAnsi="Verdana"/>
          <w:bCs/>
          <w:sz w:val="20"/>
          <w:szCs w:val="20"/>
        </w:rPr>
        <w:t>w Biurze Rozwoju Gospodarczego Urzędu Miejskiego we Wrocławiu</w:t>
      </w:r>
      <w:r>
        <w:rPr>
          <w:rFonts w:ascii="Verdana" w:hAnsi="Verdana"/>
          <w:sz w:val="20"/>
          <w:szCs w:val="20"/>
        </w:rPr>
        <w:t xml:space="preserve">  pod nr  tel. 71/ 777 78 17,                     71/777 78 03, 71/ 777 71 74.</w:t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 xml:space="preserve">UWAGA ! </w:t>
      </w:r>
      <w:r>
        <w:rPr>
          <w:rFonts w:ascii="Verdana" w:hAnsi="Verdana"/>
          <w:color w:val="FF0000"/>
          <w:sz w:val="20"/>
          <w:szCs w:val="20"/>
        </w:rPr>
        <w:t>Ze względu na sytuację dotyczącą koronawirusa, proszę na bieżąco śledzić zakładkę przetargi na stronie internetowej Biuletynu Informacji Publicznej bip.um.wroc.pl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Web"/>
        <w:tabs>
          <w:tab w:val="clear" w:pos="708"/>
          <w:tab w:val="left" w:pos="1800" w:leader="none"/>
        </w:tabs>
        <w:spacing w:beforeAutospacing="0" w:before="0" w:afterAutospacing="0" w:after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ind w:left="360" w:right="-11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Arial Unicode M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1355"/>
        </w:tabs>
        <w:ind w:left="1355" w:hanging="360"/>
      </w:pPr>
    </w:lvl>
    <w:lvl w:ilvl="2">
      <w:start w:val="1"/>
      <w:numFmt w:val="lowerRoman"/>
      <w:lvlText w:val="%3."/>
      <w:lvlJc w:val="right"/>
      <w:pPr>
        <w:tabs>
          <w:tab w:val="num" w:pos="2075"/>
        </w:tabs>
        <w:ind w:left="2075" w:hanging="180"/>
      </w:pPr>
    </w:lvl>
    <w:lvl w:ilvl="3">
      <w:start w:val="1"/>
      <w:numFmt w:val="decimal"/>
      <w:lvlText w:val="%4."/>
      <w:lvlJc w:val="left"/>
      <w:pPr>
        <w:tabs>
          <w:tab w:val="num" w:pos="2795"/>
        </w:tabs>
        <w:ind w:left="2795" w:hanging="360"/>
      </w:pPr>
    </w:lvl>
    <w:lvl w:ilvl="4">
      <w:start w:val="1"/>
      <w:numFmt w:val="lowerLetter"/>
      <w:lvlText w:val="%5."/>
      <w:lvlJc w:val="left"/>
      <w:pPr>
        <w:tabs>
          <w:tab w:val="num" w:pos="3515"/>
        </w:tabs>
        <w:ind w:left="3515" w:hanging="360"/>
      </w:pPr>
    </w:lvl>
    <w:lvl w:ilvl="5">
      <w:start w:val="1"/>
      <w:numFmt w:val="lowerRoman"/>
      <w:lvlText w:val="%6."/>
      <w:lvlJc w:val="right"/>
      <w:pPr>
        <w:tabs>
          <w:tab w:val="num" w:pos="4235"/>
        </w:tabs>
        <w:ind w:left="4235" w:hanging="180"/>
      </w:pPr>
    </w:lvl>
    <w:lvl w:ilvl="6">
      <w:start w:val="1"/>
      <w:numFmt w:val="decimal"/>
      <w:lvlText w:val="%7."/>
      <w:lvlJc w:val="left"/>
      <w:pPr>
        <w:tabs>
          <w:tab w:val="num" w:pos="4955"/>
        </w:tabs>
        <w:ind w:left="4955" w:hanging="360"/>
      </w:pPr>
    </w:lvl>
    <w:lvl w:ilvl="7">
      <w:start w:val="1"/>
      <w:numFmt w:val="lowerLetter"/>
      <w:lvlText w:val="%8."/>
      <w:lvlJc w:val="left"/>
      <w:pPr>
        <w:tabs>
          <w:tab w:val="num" w:pos="5675"/>
        </w:tabs>
        <w:ind w:left="5675" w:hanging="360"/>
      </w:pPr>
    </w:lvl>
    <w:lvl w:ilvl="8">
      <w:start w:val="1"/>
      <w:numFmt w:val="lowerRoman"/>
      <w:lvlText w:val="%9."/>
      <w:lvlJc w:val="right"/>
      <w:pPr>
        <w:tabs>
          <w:tab w:val="num" w:pos="6395"/>
        </w:tabs>
        <w:ind w:left="6395" w:hanging="180"/>
      </w:p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2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7"/>
    <w:lvlOverride w:ilvl="1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HTML Preformatted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4681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2">
    <w:name w:val="Heading 2"/>
    <w:basedOn w:val="Normal"/>
    <w:next w:val="Normal"/>
    <w:link w:val="Nagwek2Znak"/>
    <w:qFormat/>
    <w:rsid w:val="0034681e"/>
    <w:pPr>
      <w:keepNext w:val="true"/>
      <w:jc w:val="center"/>
      <w:outlineLvl w:val="1"/>
    </w:pPr>
    <w:rPr>
      <w:rFonts w:ascii="Verdana" w:hAnsi="Verdana"/>
      <w:b/>
      <w:bCs/>
      <w:sz w:val="20"/>
    </w:rPr>
  </w:style>
  <w:style w:type="paragraph" w:styleId="Nagwek5">
    <w:name w:val="Heading 5"/>
    <w:basedOn w:val="Normal"/>
    <w:next w:val="Normal"/>
    <w:link w:val="Nagwek5Znak"/>
    <w:qFormat/>
    <w:rsid w:val="0034681e"/>
    <w:pPr>
      <w:keepNext w:val="true"/>
      <w:jc w:val="center"/>
      <w:outlineLvl w:val="4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qFormat/>
    <w:rsid w:val="0034681e"/>
    <w:rPr>
      <w:rFonts w:ascii="Verdana" w:hAnsi="Verdana" w:eastAsia="Times New Roman" w:cs="Times New Roman"/>
      <w:b/>
      <w:bCs/>
      <w:sz w:val="20"/>
      <w:szCs w:val="24"/>
      <w:lang w:eastAsia="pl-PL"/>
    </w:rPr>
  </w:style>
  <w:style w:type="character" w:styleId="Nagwek5Znak" w:customStyle="1">
    <w:name w:val="Nagłówek 5 Znak"/>
    <w:basedOn w:val="DefaultParagraphFont"/>
    <w:link w:val="Nagwek5"/>
    <w:qFormat/>
    <w:rsid w:val="0034681e"/>
    <w:rPr>
      <w:rFonts w:ascii="Times New Roman" w:hAnsi="Times New Roman" w:eastAsia="Times New Roman" w:cs="Times New Roman"/>
      <w:sz w:val="28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34681e"/>
    <w:rPr>
      <w:rFonts w:ascii="Verdana" w:hAnsi="Verdana" w:eastAsia="Times New Roman" w:cs="Times New Roman"/>
      <w:b/>
      <w:bCs/>
      <w:sz w:val="24"/>
      <w:szCs w:val="24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2c316f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podstawowywcity2Znak" w:customStyle="1">
    <w:name w:val="Tekst podstawowy wcięty 2 Znak"/>
    <w:basedOn w:val="DefaultParagraphFont"/>
    <w:link w:val="Tekstpodstawowywcity2"/>
    <w:uiPriority w:val="99"/>
    <w:semiHidden/>
    <w:qFormat/>
    <w:rsid w:val="002c316f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zeinternetowe">
    <w:name w:val="Łącze internetowe"/>
    <w:basedOn w:val="DefaultParagraphFont"/>
    <w:semiHidden/>
    <w:rsid w:val="002c316f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semiHidden/>
    <w:qFormat/>
    <w:rsid w:val="004f1fb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HTMLwstpniesformatowanyZnak" w:customStyle="1">
    <w:name w:val="HTML - wstępnie sformatowany Znak"/>
    <w:basedOn w:val="DefaultParagraphFont"/>
    <w:link w:val="HTML-wstpniesformatowany"/>
    <w:semiHidden/>
    <w:qFormat/>
    <w:rsid w:val="00f31fca"/>
    <w:rPr>
      <w:rFonts w:ascii="Arial Unicode MS" w:hAnsi="Arial Unicode MS" w:eastAsia="Arial Unicode MS" w:cs="Arial Unicode MS"/>
      <w:sz w:val="20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2c316f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  <w:lang w:val="zxx" w:eastAsia="zxx" w:bidi="zxx"/>
    </w:rPr>
  </w:style>
  <w:style w:type="paragraph" w:styleId="BodyText2">
    <w:name w:val="Body Text 2"/>
    <w:basedOn w:val="Normal"/>
    <w:link w:val="Tekstpodstawowy2Znak"/>
    <w:semiHidden/>
    <w:qFormat/>
    <w:rsid w:val="0034681e"/>
    <w:pPr>
      <w:jc w:val="center"/>
    </w:pPr>
    <w:rPr>
      <w:rFonts w:ascii="Verdana" w:hAnsi="Verdana"/>
      <w:b/>
      <w:bCs/>
    </w:rPr>
  </w:style>
  <w:style w:type="paragraph" w:styleId="BodyTextIndent2">
    <w:name w:val="Body Text Indent 2"/>
    <w:basedOn w:val="Normal"/>
    <w:link w:val="Tekstpodstawowywcity2Znak"/>
    <w:uiPriority w:val="99"/>
    <w:semiHidden/>
    <w:unhideWhenUsed/>
    <w:qFormat/>
    <w:rsid w:val="002c316f"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semiHidden/>
    <w:qFormat/>
    <w:rsid w:val="002c316f"/>
    <w:pPr>
      <w:spacing w:beforeAutospacing="1" w:afterAutospacing="1"/>
      <w:jc w:val="both"/>
    </w:pPr>
    <w:rPr>
      <w:rFonts w:ascii="Arial Unicode MS" w:hAnsi="Arial Unicode MS" w:eastAsia="Arial Unicode MS" w:cs="Arial Unicode MS"/>
    </w:rPr>
  </w:style>
  <w:style w:type="paragraph" w:styleId="ListParagraph">
    <w:name w:val="List Paragraph"/>
    <w:basedOn w:val="Normal"/>
    <w:uiPriority w:val="34"/>
    <w:qFormat/>
    <w:rsid w:val="002c316f"/>
    <w:pPr>
      <w:spacing w:before="0" w:after="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semiHidden/>
    <w:rsid w:val="004f1fb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HTMLPreformatted">
    <w:name w:val="HTML Preformatted"/>
    <w:basedOn w:val="Normal"/>
    <w:link w:val="HTML-wstpniesformatowanyZnak"/>
    <w:semiHidden/>
    <w:unhideWhenUsed/>
    <w:qFormat/>
    <w:rsid w:val="00f31fc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Arial Unicode MS" w:hAnsi="Arial Unicode MS" w:eastAsia="Arial Unicode MS" w:cs="Arial Unicode MS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rg@um.wroc.pl" TargetMode="External"/><Relationship Id="rId3" Type="http://schemas.openxmlformats.org/officeDocument/2006/relationships/hyperlink" Target="http://bip.um.wroc.pl/tenders/search?keyword=&amp;order=&amp;contracting=&amp;kind_id=44&amp;procedure_id=-1&amp;value_id=-1&amp;year=&amp;dateFrom=&amp;dateTo=&amp;status" TargetMode="External"/><Relationship Id="rId4" Type="http://schemas.openxmlformats.org/officeDocument/2006/relationships/hyperlink" Target="https://baw.um.wroc.pl/UrzadMiastaWroclawia/document/62554/Zarz&#261;dzenie-5740_21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A23B38-82D3-4382-A1C9-BFBF240A1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Application>LibreOffice/7.2.2.2$Windows_X86_64 LibreOffice_project/02b2acce88a210515b4a5bb2e46cbfb63fe97d56</Application>
  <AppVersion>15.0000</AppVersion>
  <Pages>12</Pages>
  <Words>1846</Words>
  <Characters>11717</Characters>
  <CharactersWithSpaces>13675</CharactersWithSpaces>
  <Paragraphs>204</Paragraphs>
  <Company>UMW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2022-01-18T08:33:00Z</dcterms:created>
  <dc:creator>umedni02</dc:creator>
  <dc:description/>
  <dc:language>pl-PL</dc:language>
  <cp:lastModifiedBy>umedni02</cp:lastModifiedBy>
  <cp:lastPrinted>2022-01-19T09:01:00Z</cp:lastPrinted>
  <dcterms:modified xsi:type="dcterms:W3CDTF">2022-01-20T13:59:00Z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