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</w:t>
      </w:r>
      <w:r w:rsidR="00207235">
        <w:rPr>
          <w:rFonts w:ascii="Verdana" w:hAnsi="Verdana"/>
        </w:rPr>
        <w:t>7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28A">
        <w:rPr>
          <w:rFonts w:ascii="Verdana" w:hAnsi="Verdana"/>
          <w:b w:val="0"/>
          <w:bCs/>
          <w:sz w:val="24"/>
          <w:szCs w:val="24"/>
        </w:rPr>
        <w:t>4</w:t>
      </w:r>
      <w:r w:rsidR="00042C3F">
        <w:rPr>
          <w:rFonts w:ascii="Verdana" w:hAnsi="Verdana"/>
          <w:b w:val="0"/>
          <w:bCs/>
          <w:sz w:val="24"/>
          <w:szCs w:val="24"/>
        </w:rPr>
        <w:t>6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042C3F" w:rsidRPr="00042C3F">
        <w:rPr>
          <w:rFonts w:ascii="Verdana" w:hAnsi="Verdana"/>
        </w:rPr>
        <w:t xml:space="preserve">Przedszkola nr 96 ”Pod Wesołym Słonkiem” przy Alei Pracy 29a we Wrocławiu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207235">
        <w:rPr>
          <w:rFonts w:ascii="Verdana" w:hAnsi="Verdana" w:cs="Verdana"/>
          <w:b/>
          <w:bCs/>
          <w:color w:val="000000"/>
          <w:sz w:val="24"/>
          <w:szCs w:val="24"/>
        </w:rPr>
        <w:t>31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stycznia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C2B" w:rsidRDefault="008E0C2B">
      <w:r>
        <w:separator/>
      </w:r>
    </w:p>
  </w:endnote>
  <w:endnote w:type="continuationSeparator" w:id="0">
    <w:p w:rsidR="008E0C2B" w:rsidRDefault="008E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3B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3B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46FA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C2B" w:rsidRDefault="008E0C2B">
      <w:r>
        <w:separator/>
      </w:r>
    </w:p>
  </w:footnote>
  <w:footnote w:type="continuationSeparator" w:id="0">
    <w:p w:rsidR="008E0C2B" w:rsidRDefault="008E0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27B70"/>
    <w:rsid w:val="00036E65"/>
    <w:rsid w:val="00042C3F"/>
    <w:rsid w:val="00044FD4"/>
    <w:rsid w:val="00045191"/>
    <w:rsid w:val="00080EA4"/>
    <w:rsid w:val="00083BB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3919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07235"/>
    <w:rsid w:val="00211A32"/>
    <w:rsid w:val="00221E2B"/>
    <w:rsid w:val="00224AA8"/>
    <w:rsid w:val="00232B46"/>
    <w:rsid w:val="00232FAB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1979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46FA2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18DA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C2B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102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  <w:rsid w:val="00FF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FC176-FF8E-417B-A07E-8B571B49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1592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6</cp:revision>
  <cp:lastPrinted>2021-02-01T09:07:00Z</cp:lastPrinted>
  <dcterms:created xsi:type="dcterms:W3CDTF">2022-01-05T11:27:00Z</dcterms:created>
  <dcterms:modified xsi:type="dcterms:W3CDTF">2022-01-17T12:48:00Z</dcterms:modified>
</cp:coreProperties>
</file>