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spacing w:lineRule="auto" w:line="360" w:before="120" w:after="0"/>
        <w:contextualSpacing/>
        <w:jc w:val="center"/>
        <w:rPr>
          <w:rFonts w:ascii="Verdana" w:hAnsi="Verdana"/>
          <w:sz w:val="24"/>
          <w:szCs w:val="24"/>
        </w:rPr>
      </w:pPr>
      <w:bookmarkStart w:id="0" w:name="_GoBack"/>
      <w:bookmarkEnd w:id="0"/>
      <w:r>
        <w:rPr>
          <w:rFonts w:ascii="Verdana" w:hAnsi="Verdana"/>
          <w:sz w:val="24"/>
          <w:szCs w:val="24"/>
        </w:rPr>
        <w:t>Gmina Wrocław</w:t>
      </w:r>
    </w:p>
    <w:p>
      <w:pPr>
        <w:pStyle w:val="Tytu"/>
        <w:spacing w:lineRule="auto" w:line="360" w:before="120" w:after="0"/>
        <w:contextualSpacing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reprezentowana przez</w:t>
      </w:r>
    </w:p>
    <w:p>
      <w:pPr>
        <w:pStyle w:val="Tytu"/>
        <w:spacing w:lineRule="auto" w:line="360" w:before="120" w:after="0"/>
        <w:contextualSpacing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PREZYDENTA WROCŁAWIA</w:t>
      </w:r>
    </w:p>
    <w:p>
      <w:pPr>
        <w:pStyle w:val="Tytu"/>
        <w:spacing w:lineRule="auto" w:line="360" w:before="120" w:after="0"/>
        <w:contextualSpacing/>
        <w:jc w:val="center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ogłasza z dniem 0</w:t>
      </w:r>
      <w:r>
        <w:rPr>
          <w:rFonts w:ascii="Verdana" w:hAnsi="Verdana"/>
          <w:bCs/>
          <w:sz w:val="24"/>
          <w:szCs w:val="24"/>
        </w:rPr>
        <w:t>3</w:t>
      </w:r>
      <w:r>
        <w:rPr>
          <w:rFonts w:ascii="Verdana" w:hAnsi="Verdana"/>
          <w:bCs/>
          <w:sz w:val="24"/>
          <w:szCs w:val="24"/>
        </w:rPr>
        <w:t xml:space="preserve"> września 2021 roku</w:t>
      </w:r>
    </w:p>
    <w:p>
      <w:pPr>
        <w:pStyle w:val="Tytu"/>
        <w:spacing w:lineRule="auto" w:line="360" w:before="120" w:after="0"/>
        <w:contextualSpacing/>
        <w:jc w:val="center"/>
        <w:rPr>
          <w:rFonts w:ascii="Verdana" w:hAnsi="Verdana"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 xml:space="preserve">otwarty konkurs ofert na realizację zadania publicznego </w:t>
      </w:r>
    </w:p>
    <w:p>
      <w:pPr>
        <w:pStyle w:val="Tytu"/>
        <w:spacing w:lineRule="auto" w:line="360" w:before="120" w:after="0"/>
        <w:contextualSpacing/>
        <w:rPr>
          <w:rFonts w:ascii="Verdana" w:hAnsi="Verdana"/>
          <w:b/>
          <w:b/>
          <w:bCs/>
          <w:sz w:val="24"/>
          <w:szCs w:val="24"/>
        </w:rPr>
      </w:pPr>
      <w:r>
        <w:rPr>
          <w:rFonts w:ascii="Verdana" w:hAnsi="Verdana"/>
          <w:bCs/>
          <w:sz w:val="24"/>
          <w:szCs w:val="24"/>
        </w:rPr>
        <w:t>pn.  „</w:t>
      </w:r>
      <w:r>
        <w:rPr>
          <w:rFonts w:ascii="Verdana" w:hAnsi="Verdana"/>
          <w:b/>
          <w:bCs/>
          <w:sz w:val="24"/>
          <w:szCs w:val="24"/>
        </w:rPr>
        <w:t>Udzielanie wsparcia psychologicznego osobom doświadczającym przemocy domowej przebywającym w środowisku zdarzenia”</w:t>
      </w:r>
    </w:p>
    <w:p>
      <w:pPr>
        <w:pStyle w:val="BodyText2"/>
        <w:spacing w:lineRule="auto" w:line="240"/>
        <w:rPr>
          <w:rFonts w:ascii="Verdana" w:hAnsi="Verdana" w:eastAsia="Calibri" w:cs="Times New Roman"/>
          <w:b/>
          <w:b/>
          <w:color w:val="000000"/>
          <w:sz w:val="20"/>
          <w:szCs w:val="20"/>
        </w:rPr>
      </w:pPr>
      <w:r>
        <w:rPr>
          <w:rFonts w:eastAsia="Calibri" w:cs="Times New Roman" w:ascii="Verdana" w:hAnsi="Verdana"/>
          <w:b/>
          <w:color w:val="000000"/>
          <w:sz w:val="20"/>
          <w:szCs w:val="20"/>
        </w:rPr>
      </w:r>
    </w:p>
    <w:p>
      <w:pPr>
        <w:pStyle w:val="Nagwek1"/>
        <w:spacing w:lineRule="auto" w:line="360"/>
        <w:rPr/>
      </w:pPr>
      <w:r>
        <w:rPr/>
        <w:t>I. PODSTAWA PRAWNA</w:t>
      </w:r>
    </w:p>
    <w:p>
      <w:pPr>
        <w:pStyle w:val="Normal"/>
        <w:spacing w:lineRule="auto" w: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Konkurs ofert ogłoszony jest na podstawie art. 14 ust. 1 w związku art. 2 pkt. 2 i 5 oraz </w:t>
        <w:br/>
        <w:t>art. 13 pkt. 3 Ustawy z dnia 11 września 2015 r. o zdrowiu publicznym (</w:t>
      </w:r>
      <w:r>
        <w:rPr>
          <w:rFonts w:eastAsia="Calibri" w:cs="Times New Roman" w:ascii="Verdana" w:hAnsi="Verdana"/>
          <w:sz w:val="20"/>
          <w:szCs w:val="20"/>
        </w:rPr>
        <w:t>Dz. U. 2021 poz. 183 t.j.</w:t>
      </w:r>
      <w:r>
        <w:rPr>
          <w:rFonts w:ascii="Verdana" w:hAnsi="Verdana"/>
          <w:sz w:val="20"/>
          <w:szCs w:val="20"/>
        </w:rPr>
        <w:t>).</w:t>
      </w:r>
    </w:p>
    <w:p>
      <w:pPr>
        <w:pStyle w:val="Nagwek1"/>
        <w:spacing w:lineRule="auto" w:line="360"/>
        <w:rPr/>
      </w:pPr>
      <w:r>
        <w:rPr/>
        <w:t>II. ADRESAT KONKURSU</w:t>
      </w:r>
    </w:p>
    <w:p>
      <w:pPr>
        <w:pStyle w:val="Normal"/>
        <w:spacing w:lineRule="auto" w:line="360" w:before="0" w:after="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Konkurs skierowany jest do podmiotów leczniczych w rozumieniu art. 4 ust. 1 ustawy z dnia 15 kwietnia 2011 r. o działalności leczniczej</w:t>
      </w:r>
      <w:r>
        <w:rPr>
          <w:rFonts w:eastAsia="Calibri" w:cs="Times New Roman" w:ascii="Verdana" w:hAnsi="Verdana"/>
          <w:sz w:val="20"/>
          <w:szCs w:val="20"/>
        </w:rPr>
        <w:t xml:space="preserve">(Dz.U. 2021, poz. 711 t.j.) </w:t>
      </w:r>
      <w:r>
        <w:rPr>
          <w:rFonts w:ascii="Verdana" w:hAnsi="Verdana"/>
          <w:sz w:val="20"/>
          <w:szCs w:val="20"/>
        </w:rPr>
        <w:t xml:space="preserve">, zwanych w dalszej części ogłoszenia konkursowego </w:t>
      </w:r>
      <w:r>
        <w:rPr>
          <w:rFonts w:ascii="Verdana" w:hAnsi="Verdana"/>
          <w:b/>
          <w:bCs/>
          <w:sz w:val="20"/>
          <w:szCs w:val="20"/>
        </w:rPr>
        <w:t>„oferentem”.</w:t>
      </w:r>
    </w:p>
    <w:p>
      <w:pPr>
        <w:pStyle w:val="Nagwek1"/>
        <w:rPr/>
      </w:pPr>
      <w:r>
        <w:rPr/>
        <w:t>III. CEL REALIZACJI ZADANIA</w:t>
      </w:r>
    </w:p>
    <w:p>
      <w:pPr>
        <w:pStyle w:val="Tretekstu"/>
        <w:rPr>
          <w:rFonts w:ascii="Verdana" w:hAnsi="Verdana"/>
          <w:b/>
          <w:b/>
          <w:bCs/>
          <w:sz w:val="18"/>
          <w:szCs w:val="20"/>
        </w:rPr>
      </w:pPr>
      <w:r>
        <w:rPr>
          <w:rFonts w:ascii="Verdana" w:hAnsi="Verdana"/>
          <w:b/>
          <w:bCs/>
          <w:sz w:val="18"/>
          <w:szCs w:val="20"/>
        </w:rPr>
      </w:r>
    </w:p>
    <w:p>
      <w:pPr>
        <w:pStyle w:val="NormalWeb"/>
        <w:numPr>
          <w:ilvl w:val="0"/>
          <w:numId w:val="18"/>
        </w:numPr>
        <w:spacing w:lineRule="auto" w:line="360" w:beforeAutospacing="0" w:before="0" w:afterAutospacing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Ograniczanie skutków przemocy domowej poprzez zapewnienie wsparcia psychologicznego osobom doświadczającym przemocy przebywającym w środowisku zdarzenia (szczególnie dzieciom i osobom starszym). </w:t>
      </w:r>
    </w:p>
    <w:p>
      <w:pPr>
        <w:pStyle w:val="NormalWeb"/>
        <w:numPr>
          <w:ilvl w:val="0"/>
          <w:numId w:val="18"/>
        </w:numPr>
        <w:spacing w:lineRule="auto" w:line="360" w:beforeAutospacing="0" w:before="0" w:afterAutospacing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Prowadzenie działań informacyjno-edukacyjnych wspierających osoby doświadczające przemocy i świadków przemocy oraz podmioty współpracujące w realizacji zadania.</w:t>
      </w:r>
    </w:p>
    <w:p>
      <w:pPr>
        <w:pStyle w:val="NormalWeb"/>
        <w:numPr>
          <w:ilvl w:val="0"/>
          <w:numId w:val="18"/>
        </w:numPr>
        <w:spacing w:lineRule="auto" w:line="360" w:beforeAutospacing="0" w:before="0" w:afterAutospacing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Współpraca z Policją w miejscach występowania przemocy domowej.</w:t>
      </w:r>
    </w:p>
    <w:p>
      <w:pPr>
        <w:pStyle w:val="Nagwek1"/>
        <w:spacing w:lineRule="auto" w:line="360"/>
        <w:rPr/>
      </w:pPr>
      <w:r>
        <w:rPr/>
        <w:t>IV. TERMIN REALIZACJI ZADANIA</w:t>
      </w:r>
    </w:p>
    <w:p>
      <w:pPr>
        <w:pStyle w:val="Normal"/>
        <w:spacing w:lineRule="auto" w:line="360" w:before="120" w:after="20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 </w:t>
      </w:r>
      <w:r>
        <w:rPr>
          <w:rFonts w:ascii="Verdana" w:hAnsi="Verdana"/>
          <w:b/>
          <w:sz w:val="20"/>
          <w:szCs w:val="20"/>
        </w:rPr>
        <w:t>01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października </w:t>
      </w:r>
      <w:r>
        <w:rPr>
          <w:rFonts w:ascii="Verdana" w:hAnsi="Verdana"/>
          <w:b/>
          <w:bCs/>
          <w:sz w:val="20"/>
          <w:szCs w:val="20"/>
        </w:rPr>
        <w:t>2021</w:t>
      </w:r>
      <w:r>
        <w:rPr>
          <w:rFonts w:ascii="Verdana" w:hAnsi="Verdana"/>
          <w:sz w:val="20"/>
          <w:szCs w:val="20"/>
        </w:rPr>
        <w:t xml:space="preserve"> roku do </w:t>
      </w:r>
      <w:r>
        <w:rPr>
          <w:rFonts w:ascii="Verdana" w:hAnsi="Verdana"/>
          <w:b/>
          <w:bCs/>
          <w:sz w:val="20"/>
          <w:szCs w:val="20"/>
        </w:rPr>
        <w:t xml:space="preserve">31 grudnia 2022 </w:t>
      </w:r>
      <w:r>
        <w:rPr>
          <w:rFonts w:ascii="Verdana" w:hAnsi="Verdana"/>
          <w:sz w:val="20"/>
          <w:szCs w:val="20"/>
        </w:rPr>
        <w:t>roku.</w:t>
      </w:r>
    </w:p>
    <w:p>
      <w:pPr>
        <w:pStyle w:val="Normal"/>
        <w:spacing w:lineRule="auto" w: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ofercie należy wpisać rzeczywisty okres realizacji zadania, który nie będzie wykraczał poza wskazane terminy.</w:t>
      </w:r>
    </w:p>
    <w:p>
      <w:pPr>
        <w:pStyle w:val="Nagwek1"/>
        <w:spacing w:lineRule="auto" w:line="360"/>
        <w:rPr/>
      </w:pPr>
      <w:r>
        <w:rPr/>
        <w:t>V. MIEJSCE REALIZACJI ZADANIA</w:t>
      </w:r>
    </w:p>
    <w:p>
      <w:pPr>
        <w:pStyle w:val="Normal"/>
        <w:spacing w:lineRule="auto" w:line="36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Wrocław</w:t>
      </w:r>
    </w:p>
    <w:p>
      <w:pPr>
        <w:pStyle w:val="Nagwek1"/>
        <w:spacing w:lineRule="auto" w:line="360"/>
        <w:rPr/>
      </w:pPr>
      <w:r>
        <w:rPr/>
        <w:t>VI. ŚRODKI PRZEZNACZONE NA REALIZACJĘ ZADANIA</w:t>
      </w:r>
    </w:p>
    <w:p>
      <w:pPr>
        <w:pStyle w:val="ListParagraph"/>
        <w:numPr>
          <w:ilvl w:val="0"/>
          <w:numId w:val="19"/>
        </w:numPr>
        <w:spacing w:lineRule="auto" w:line="360" w:before="120" w:after="200"/>
        <w:ind w:left="830" w:right="110" w:hanging="360"/>
        <w:contextualSpacing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</w:t>
      </w:r>
      <w:r>
        <w:rPr>
          <w:rFonts w:ascii="Verdana" w:hAnsi="Verdana"/>
          <w:b/>
          <w:bCs/>
          <w:sz w:val="20"/>
          <w:szCs w:val="20"/>
        </w:rPr>
        <w:t>roku 2021</w:t>
      </w:r>
      <w:r>
        <w:rPr>
          <w:rFonts w:ascii="Verdana" w:hAnsi="Verdana"/>
          <w:sz w:val="20"/>
          <w:szCs w:val="20"/>
        </w:rPr>
        <w:t xml:space="preserve"> Gmina Wrocław przekaże na realizację ww. zadania dotację do wysokości </w:t>
        <w:br/>
      </w:r>
      <w:r>
        <w:rPr>
          <w:rFonts w:ascii="Verdana" w:hAnsi="Verdana"/>
          <w:b/>
          <w:bCs/>
          <w:sz w:val="20"/>
          <w:szCs w:val="20"/>
        </w:rPr>
        <w:t>80 000,00 PLN.</w:t>
      </w:r>
      <w:r>
        <w:rPr>
          <w:rFonts w:ascii="Verdana" w:hAnsi="Verdana"/>
          <w:sz w:val="20"/>
          <w:szCs w:val="20"/>
        </w:rPr>
        <w:t xml:space="preserve"> </w:t>
      </w:r>
    </w:p>
    <w:p>
      <w:pPr>
        <w:pStyle w:val="NormalWeb"/>
        <w:spacing w:lineRule="auto" w:line="360" w:beforeAutospacing="0" w:before="0" w:afterAutospacing="0" w:after="120"/>
        <w:ind w:left="360" w:hang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Ostateczna kwota dotacji zostanie ustalona na podstawie projektu budżetu na rok </w:t>
      </w:r>
      <w:r>
        <w:rPr>
          <w:rFonts w:ascii="Verdana" w:hAnsi="Verdana"/>
          <w:b/>
          <w:sz w:val="20"/>
          <w:szCs w:val="20"/>
        </w:rPr>
        <w:t>2021</w:t>
      </w:r>
      <w:r>
        <w:rPr>
          <w:rFonts w:ascii="Verdana" w:hAnsi="Verdana"/>
          <w:sz w:val="20"/>
          <w:szCs w:val="20"/>
        </w:rPr>
        <w:t xml:space="preserve"> lub po jego uchwaleniu przez Radę Miejska Wrocławia oraz po złożeniu ofert.</w:t>
      </w:r>
    </w:p>
    <w:p>
      <w:pPr>
        <w:pStyle w:val="NormalWeb"/>
        <w:numPr>
          <w:ilvl w:val="0"/>
          <w:numId w:val="19"/>
        </w:numPr>
        <w:spacing w:lineRule="auto" w:line="360" w:beforeAutospacing="0" w:before="0" w:afterAutospacing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</w:t>
      </w:r>
      <w:r>
        <w:rPr>
          <w:rFonts w:ascii="Verdana" w:hAnsi="Verdana"/>
          <w:b/>
          <w:bCs/>
          <w:sz w:val="20"/>
          <w:szCs w:val="20"/>
        </w:rPr>
        <w:t>roku 2022</w:t>
      </w:r>
      <w:r>
        <w:rPr>
          <w:rFonts w:ascii="Verdana" w:hAnsi="Verdana"/>
          <w:sz w:val="20"/>
          <w:szCs w:val="20"/>
        </w:rPr>
        <w:t xml:space="preserve"> Gmina Wrocław przekaże na realizację ww. zadania dotację w wysokości do</w:t>
      </w:r>
    </w:p>
    <w:p>
      <w:pPr>
        <w:pStyle w:val="NormalWeb"/>
        <w:spacing w:lineRule="auto" w:line="360" w:beforeAutospacing="0" w:before="0" w:afterAutospacing="0" w:after="0"/>
        <w:ind w:left="360" w:hanging="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300 000,00 PLN.</w:t>
      </w:r>
    </w:p>
    <w:p>
      <w:pPr>
        <w:pStyle w:val="NormalWeb"/>
        <w:spacing w:lineRule="auto" w:line="360" w:beforeAutospacing="0" w:before="0" w:afterAutospacing="0" w:after="120"/>
        <w:ind w:left="360" w:hang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Ostateczna kwota dotacji zostanie ustalona na podstawie projektu budżetu na rok </w:t>
      </w:r>
      <w:r>
        <w:rPr>
          <w:rFonts w:ascii="Verdana" w:hAnsi="Verdana"/>
          <w:b/>
          <w:sz w:val="20"/>
          <w:szCs w:val="20"/>
        </w:rPr>
        <w:t>2022</w:t>
      </w:r>
      <w:r>
        <w:rPr>
          <w:rFonts w:ascii="Verdana" w:hAnsi="Verdana"/>
          <w:sz w:val="20"/>
          <w:szCs w:val="20"/>
        </w:rPr>
        <w:t xml:space="preserve"> lub po jego uchwaleniu przez Radę Miejska Wrocławia oraz po złożeniu ofert.</w:t>
      </w:r>
    </w:p>
    <w:p>
      <w:pPr>
        <w:pStyle w:val="NormalWeb"/>
        <w:spacing w:beforeAutospacing="0" w:before="120" w:afterAutospacing="0" w:after="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GMINA WROCŁAW ZASTRZEGA SOBIE PRAWO DO:</w:t>
      </w:r>
    </w:p>
    <w:p>
      <w:pPr>
        <w:pStyle w:val="NormalWeb"/>
        <w:spacing w:beforeAutospacing="0" w:before="120" w:afterAutospacing="0" w:after="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Autospacing="0" w:after="0"/>
        <w:ind w:left="714" w:hanging="357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Odwołania konkursu ofert bez podania przyczyny przed upływem terminu na złożenie ofert.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Autospacing="0" w:after="0"/>
        <w:ind w:left="714" w:hanging="357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Przedłużenia terminu złożenia ofert i terminu rozstrzygnięcia konkursu ofert.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Autospacing="0" w:after="0"/>
        <w:ind w:left="714" w:hanging="357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Zmiany  wysokości środków publicznych na realizację zadania w trakcie trwania konkursu.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Autospacing="0" w:after="0"/>
        <w:ind w:left="714" w:hanging="357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Wezwania oferenta w trybie pilnym w celu wyjaśnienia i usunięcia braków formalnych z zastrzeżeniem, że oferent musi się zgłosić i usunąć braki w terminie wskazanym przez Komisję Konkursową.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Autospacing="0" w:after="0"/>
        <w:ind w:left="714" w:hanging="357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Negocjowania z oferentem warunków i kosztów realizacji zadania, terminu realizacji zadania oraz zakresu rzeczowego zadania.</w:t>
      </w:r>
    </w:p>
    <w:p>
      <w:pPr>
        <w:pStyle w:val="Nagwek1"/>
        <w:spacing w:lineRule="auto" w:line="360"/>
        <w:rPr/>
      </w:pPr>
      <w:r>
        <w:rPr/>
        <w:t>VII. OPIS ZADANIA</w:t>
      </w:r>
    </w:p>
    <w:p>
      <w:pPr>
        <w:pStyle w:val="Normal"/>
        <w:spacing w:lineRule="auto" w:line="360" w:before="0" w:after="12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Realizacja zadania polegać będzie w szczególności na: </w:t>
      </w:r>
    </w:p>
    <w:p>
      <w:pPr>
        <w:pStyle w:val="Normal"/>
        <w:numPr>
          <w:ilvl w:val="0"/>
          <w:numId w:val="2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prowadzeniu nadzoru organizacyjno-merytorycznego nad realizacją zadania</w:t>
      </w:r>
    </w:p>
    <w:p>
      <w:pPr>
        <w:pStyle w:val="Normal"/>
        <w:numPr>
          <w:ilvl w:val="0"/>
          <w:numId w:val="2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pełnieniu całodobowych dyżurów telefonicznych, we wszystkie dni robocze, w święta i dni wolne od pracy, przez psychologów udzielających informacji oraz konsultacji Policji i innym podmiotom współpracującym </w:t>
      </w:r>
    </w:p>
    <w:p>
      <w:pPr>
        <w:pStyle w:val="Normal"/>
        <w:numPr>
          <w:ilvl w:val="0"/>
          <w:numId w:val="2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udzielaniu osobom doświadczającym przemocy oraz świadkom zdarzenia wsparcia psychologicznego, w miejscu zdarzenia wskazanego przez Policję na każde jej wezwanie przez całą dobę we wszystkie dni robocze, w święta i dni wolne od pracy,  </w:t>
      </w:r>
    </w:p>
    <w:p>
      <w:pPr>
        <w:pStyle w:val="Normal"/>
        <w:numPr>
          <w:ilvl w:val="0"/>
          <w:numId w:val="2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udzielaniu osobom doświadczającym przemocy informacji o miejscach pomocy medycznej, psychologicznej , prawnej </w:t>
      </w:r>
    </w:p>
    <w:p>
      <w:pPr>
        <w:pStyle w:val="Normal"/>
        <w:numPr>
          <w:ilvl w:val="0"/>
          <w:numId w:val="2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motywowaniu do podjęcia działań naprawczych oraz udzielaniu sprawcom przemocy informacji o możliwości udziału w programie dla osób stosujących przemoc</w:t>
      </w:r>
    </w:p>
    <w:p>
      <w:pPr>
        <w:pStyle w:val="Normal"/>
        <w:numPr>
          <w:ilvl w:val="0"/>
          <w:numId w:val="2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udzielaniu konsultacji psychiatrycznych osobom zgłaszającym się po pomoc bez oczekiwania w kolejce, po interwencji w miejscu zdarzenia</w:t>
      </w:r>
    </w:p>
    <w:p>
      <w:pPr>
        <w:pStyle w:val="Normal"/>
        <w:numPr>
          <w:ilvl w:val="0"/>
          <w:numId w:val="2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prowadzeniu dokumentacji z realizacji zadania , w tym protokołów z przeprowadzonych interwencji w środowisku zdarzenia</w:t>
      </w:r>
    </w:p>
    <w:p>
      <w:pPr>
        <w:pStyle w:val="Normal"/>
        <w:numPr>
          <w:ilvl w:val="0"/>
          <w:numId w:val="2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współpracy z Policją , służbą zdrowia, MOPS-em, organizacjami pozarządowymi itp.</w:t>
      </w:r>
    </w:p>
    <w:p>
      <w:pPr>
        <w:pStyle w:val="Normal"/>
        <w:numPr>
          <w:ilvl w:val="0"/>
          <w:numId w:val="2"/>
        </w:numPr>
        <w:spacing w:lineRule="auto" w:line="360" w:before="0" w:after="12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zamieszczaniu na stronie internetowej aktualnych informacji dotyczących realizacji </w:t>
      </w:r>
      <w:r>
        <w:rPr>
          <w:rFonts w:ascii="Verdana" w:hAnsi="Verdana"/>
          <w:color w:val="000000"/>
          <w:sz w:val="20"/>
          <w:szCs w:val="20"/>
        </w:rPr>
        <w:t xml:space="preserve">zadania, </w:t>
      </w:r>
    </w:p>
    <w:p>
      <w:pPr>
        <w:pStyle w:val="Normal"/>
        <w:numPr>
          <w:ilvl w:val="0"/>
          <w:numId w:val="2"/>
        </w:numPr>
        <w:spacing w:lineRule="auto" w:line="360" w:before="0" w:after="12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zabezpieczaniu i archiwizowaniu dokumentacji z realizacji zadania, zgodnie z  obowiązującymi przepisami, monitorowaniu i ewaluacji zadania.</w:t>
      </w:r>
    </w:p>
    <w:p>
      <w:pPr>
        <w:pStyle w:val="Nagwek1"/>
        <w:spacing w:lineRule="auto" w:line="360"/>
        <w:rPr/>
      </w:pPr>
      <w:r>
        <w:rPr/>
        <w:t>VIII. WARUNKI REALIZACJI ZADANIA</w:t>
      </w:r>
    </w:p>
    <w:p>
      <w:pPr>
        <w:pStyle w:val="NormalWeb"/>
        <w:numPr>
          <w:ilvl w:val="0"/>
          <w:numId w:val="3"/>
        </w:numPr>
        <w:tabs>
          <w:tab w:val="clear" w:pos="708"/>
          <w:tab w:val="left" w:pos="720" w:leader="none"/>
        </w:tabs>
        <w:spacing w:lineRule="auto" w:line="360" w:beforeAutospacing="0" w:before="120" w:afterAutospacing="0" w:after="0"/>
        <w:ind w:left="72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Zadanie może realizować podmiot leczniczy w rozumieniu art. 4.1 ustawy z dnia 15 kwietnia 2011 r. o działalności leczniczej  (Dz.U. 2018, poz.  2190 z późn. zm.).</w:t>
      </w:r>
    </w:p>
    <w:p>
      <w:pPr>
        <w:pStyle w:val="NormalWeb"/>
        <w:numPr>
          <w:ilvl w:val="0"/>
          <w:numId w:val="3"/>
        </w:numPr>
        <w:tabs>
          <w:tab w:val="clear" w:pos="708"/>
          <w:tab w:val="left" w:pos="720" w:leader="none"/>
        </w:tabs>
        <w:spacing w:lineRule="auto" w:line="360" w:beforeAutospacing="0" w:before="120" w:afterAutospacing="0" w:after="0"/>
        <w:ind w:left="72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Zadanie powinno być wykonywane w bazie lokalowej Oferenta, z wykorzystaniem jego personelu, aparatury, sprzętu medycznego spełniającego wymagania określone w obowiązujących w tym zakresie przepisach oraz innych miejscach wskazanych przez Oferenta.</w:t>
      </w:r>
    </w:p>
    <w:p>
      <w:pPr>
        <w:pStyle w:val="NormalWeb"/>
        <w:numPr>
          <w:ilvl w:val="0"/>
          <w:numId w:val="3"/>
        </w:numPr>
        <w:tabs>
          <w:tab w:val="clear" w:pos="708"/>
          <w:tab w:val="left" w:pos="720" w:leader="none"/>
        </w:tabs>
        <w:spacing w:lineRule="auto" w:line="360" w:beforeAutospacing="0" w:before="120" w:afterAutospacing="0" w:after="0"/>
        <w:ind w:left="72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Oferent musi spełniać wymagania określone w obowiązujących przepisach </w:t>
        <w:br/>
        <w:t>w szczególności w:</w:t>
      </w:r>
    </w:p>
    <w:p>
      <w:pPr>
        <w:pStyle w:val="Normal"/>
        <w:numPr>
          <w:ilvl w:val="0"/>
          <w:numId w:val="20"/>
        </w:numPr>
        <w:tabs>
          <w:tab w:val="clear" w:pos="708"/>
          <w:tab w:val="left" w:pos="720" w:leader="none"/>
          <w:tab w:val="left" w:pos="1440" w:leader="none"/>
        </w:tabs>
        <w:spacing w:lineRule="auto" w:line="360" w:before="0" w:after="120"/>
        <w:ind w:left="1440" w:hanging="5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Rozporządzeniu Ministra Zdrowia z dnia 26 marca 2019 r. w sprawie szczegółowych wymagań, jakim powinny odpowiadać pomieszczenia </w:t>
        <w:br/>
        <w:t>i urządzenia podmiotu wykonującego działalność leczniczą (j.t. Dz. U. z 2019 r., poz.595)</w:t>
      </w:r>
    </w:p>
    <w:p>
      <w:pPr>
        <w:pStyle w:val="Normal"/>
        <w:numPr>
          <w:ilvl w:val="0"/>
          <w:numId w:val="20"/>
        </w:numPr>
        <w:tabs>
          <w:tab w:val="clear" w:pos="708"/>
          <w:tab w:val="left" w:pos="720" w:leader="none"/>
          <w:tab w:val="left" w:pos="1440" w:leader="none"/>
        </w:tabs>
        <w:spacing w:lineRule="auto" w:line="360" w:before="0" w:after="120"/>
        <w:ind w:left="1440" w:hanging="54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Rozporządzeniu Ministra Zdrowia z </w:t>
      </w:r>
      <w:r>
        <w:rPr>
          <w:rStyle w:val="Wyrnienie"/>
          <w:rFonts w:ascii="Verdana" w:hAnsi="Verdana"/>
          <w:sz w:val="20"/>
          <w:szCs w:val="20"/>
        </w:rPr>
        <w:t>dnia</w:t>
      </w:r>
      <w:r>
        <w:rPr>
          <w:rFonts w:ascii="Verdana" w:hAnsi="Verdana"/>
          <w:sz w:val="20"/>
          <w:szCs w:val="20"/>
        </w:rPr>
        <w:t xml:space="preserve"> 9 listopada 2015 r.</w:t>
      </w:r>
      <w:r>
        <w:rPr>
          <w:rFonts w:eastAsia="Arial Unicode MS" w:cs="Arial Unicode MS" w:ascii="Verdana" w:hAnsi="Verdana"/>
          <w:sz w:val="20"/>
          <w:szCs w:val="20"/>
        </w:rPr>
        <w:t xml:space="preserve"> </w:t>
      </w:r>
      <w:r>
        <w:rPr>
          <w:rFonts w:ascii="Verdana" w:hAnsi="Verdana"/>
          <w:i/>
          <w:iCs/>
          <w:sz w:val="20"/>
          <w:szCs w:val="20"/>
        </w:rPr>
        <w:t xml:space="preserve">w </w:t>
      </w:r>
      <w:r>
        <w:rPr>
          <w:rStyle w:val="Wyrnienie"/>
          <w:rFonts w:ascii="Verdana" w:hAnsi="Verdana"/>
          <w:sz w:val="20"/>
          <w:szCs w:val="20"/>
        </w:rPr>
        <w:t>sprawie rodzajów</w:t>
      </w:r>
      <w:r>
        <w:rPr>
          <w:rFonts w:ascii="Verdana" w:hAnsi="Verdana"/>
          <w:i/>
          <w:iCs/>
          <w:sz w:val="20"/>
          <w:szCs w:val="20"/>
        </w:rPr>
        <w:t xml:space="preserve">, </w:t>
      </w:r>
      <w:r>
        <w:rPr>
          <w:rStyle w:val="Wyrnienie"/>
          <w:rFonts w:ascii="Verdana" w:hAnsi="Verdana"/>
          <w:sz w:val="20"/>
          <w:szCs w:val="20"/>
        </w:rPr>
        <w:t>zakresu</w:t>
      </w:r>
      <w:r>
        <w:rPr>
          <w:rFonts w:ascii="Verdana" w:hAnsi="Verdana"/>
          <w:i/>
          <w:iCs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i wzorów</w:t>
      </w:r>
      <w:r>
        <w:rPr>
          <w:rFonts w:ascii="Verdana" w:hAnsi="Verdana"/>
          <w:i/>
          <w:iCs/>
          <w:sz w:val="20"/>
          <w:szCs w:val="20"/>
        </w:rPr>
        <w:t xml:space="preserve"> </w:t>
      </w:r>
      <w:r>
        <w:rPr>
          <w:rStyle w:val="Wyrnienie"/>
          <w:rFonts w:ascii="Verdana" w:hAnsi="Verdana"/>
          <w:sz w:val="20"/>
          <w:szCs w:val="20"/>
        </w:rPr>
        <w:t>dokumentacji medycznej</w:t>
      </w:r>
      <w:r>
        <w:rPr>
          <w:rFonts w:ascii="Verdana" w:hAnsi="Verdana"/>
          <w:i/>
          <w:iCs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oraz</w:t>
      </w:r>
      <w:r>
        <w:rPr>
          <w:rFonts w:ascii="Verdana" w:hAnsi="Verdana"/>
          <w:i/>
          <w:iCs/>
          <w:sz w:val="20"/>
          <w:szCs w:val="20"/>
        </w:rPr>
        <w:t xml:space="preserve"> </w:t>
      </w:r>
      <w:r>
        <w:rPr>
          <w:rStyle w:val="Wyrnienie"/>
          <w:rFonts w:ascii="Verdana" w:hAnsi="Verdana"/>
          <w:sz w:val="20"/>
          <w:szCs w:val="20"/>
        </w:rPr>
        <w:t>sposobu</w:t>
      </w:r>
      <w:r>
        <w:rPr>
          <w:rFonts w:ascii="Verdana" w:hAnsi="Verdana"/>
          <w:i/>
          <w:iCs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jej </w:t>
      </w:r>
      <w:r>
        <w:rPr>
          <w:rStyle w:val="Wyrnienie"/>
          <w:rFonts w:ascii="Verdana" w:hAnsi="Verdana"/>
          <w:sz w:val="20"/>
          <w:szCs w:val="20"/>
        </w:rPr>
        <w:t>przetwarzania</w:t>
      </w:r>
      <w:r>
        <w:rPr>
          <w:rFonts w:ascii="Verdana" w:hAnsi="Verdana"/>
          <w:i/>
          <w:iCs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(Dz. U. 2015, poz. 2069 z pózn. zm.)</w:t>
      </w:r>
    </w:p>
    <w:p>
      <w:pPr>
        <w:pStyle w:val="Normal"/>
        <w:numPr>
          <w:ilvl w:val="0"/>
          <w:numId w:val="20"/>
        </w:numPr>
        <w:tabs>
          <w:tab w:val="clear" w:pos="708"/>
          <w:tab w:val="left" w:pos="720" w:leader="none"/>
          <w:tab w:val="left" w:pos="1440" w:leader="none"/>
        </w:tabs>
        <w:spacing w:lineRule="auto" w:line="360" w:before="0" w:after="120"/>
        <w:ind w:left="1440" w:hanging="54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cs="Verdana" w:ascii="Verdana" w:hAnsi="Verdana"/>
          <w:color w:val="000000"/>
          <w:sz w:val="20"/>
          <w:szCs w:val="20"/>
        </w:rPr>
        <w:t>Ustawie z dnia 10 maja 2018 r. o ochronie danych osobowych (Dz.U. z  2018, poz. 1000), w związku z wdrożeniem ROZPORZĄDZENIA PARLAMENTU EUROPEJSKIEGO I RADY (UE) 2016/679 z dnia 27 kwietnia 2016 r. w sprawie ochrony osób fizycznych w związku z przetwarzaniem danych osobowych i w sprawie swobodnego przepływu takich danych oraz uchylenia dyrektywy 95/46/WE oraz przepisów szczególnych, w tym w zakresie dokumentacji medycznej, obowiązujących podmioty prowadzące działalność medyczną.</w:t>
      </w:r>
    </w:p>
    <w:p>
      <w:pPr>
        <w:pStyle w:val="NormalWeb"/>
        <w:numPr>
          <w:ilvl w:val="0"/>
          <w:numId w:val="3"/>
        </w:numPr>
        <w:tabs>
          <w:tab w:val="clear" w:pos="708"/>
          <w:tab w:val="left" w:pos="720" w:leader="none"/>
        </w:tabs>
        <w:spacing w:lineRule="auto" w:line="360" w:beforeAutospacing="0" w:before="0" w:afterAutospacing="0" w:after="0"/>
        <w:ind w:left="72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Harmonogram planowanych działań powinien zawierać terminy realizacji poszczególnych działań, umożliwiając kontrolę merytoryczną oferenta w trakcie realizacji zadania. W przypadku braku ww. informacji, oferta zostanie odrzucona przy ocenie merytorycznej.</w:t>
      </w:r>
    </w:p>
    <w:p>
      <w:pPr>
        <w:pStyle w:val="NormalWeb"/>
        <w:numPr>
          <w:ilvl w:val="0"/>
          <w:numId w:val="3"/>
        </w:numPr>
        <w:tabs>
          <w:tab w:val="clear" w:pos="708"/>
          <w:tab w:val="left" w:pos="720" w:leader="none"/>
        </w:tabs>
        <w:spacing w:lineRule="auto" w:line="360" w:beforeAutospacing="0" w:before="0" w:afterAutospacing="0" w:after="0"/>
        <w:ind w:left="720" w:right="11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Kosztorys należy sporządzić osobno na: </w:t>
      </w:r>
      <w:r>
        <w:rPr>
          <w:rFonts w:ascii="Verdana" w:hAnsi="Verdana"/>
          <w:b/>
          <w:sz w:val="20"/>
          <w:szCs w:val="20"/>
        </w:rPr>
        <w:t>od 01 października do 31.12.2021 oraz na rok 2022</w:t>
      </w:r>
      <w:r>
        <w:rPr>
          <w:rFonts w:ascii="Verdana" w:hAnsi="Verdana"/>
          <w:sz w:val="20"/>
          <w:szCs w:val="20"/>
        </w:rPr>
        <w:t xml:space="preserve"> .</w:t>
      </w:r>
    </w:p>
    <w:p>
      <w:pPr>
        <w:pStyle w:val="NormalWeb"/>
        <w:numPr>
          <w:ilvl w:val="0"/>
          <w:numId w:val="3"/>
        </w:numPr>
        <w:tabs>
          <w:tab w:val="clear" w:pos="708"/>
          <w:tab w:val="left" w:pos="720" w:leader="none"/>
        </w:tabs>
        <w:spacing w:lineRule="auto" w:line="360" w:beforeAutospacing="0" w:before="0" w:afterAutospacing="0" w:after="0"/>
        <w:ind w:left="714" w:hanging="3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Adresatami zadania są dzieci, młodzież i osoby dorosłe (szczególnie w starszym wieku) -  mieszkańcy Wrocławia.</w:t>
      </w:r>
    </w:p>
    <w:p>
      <w:pPr>
        <w:pStyle w:val="NormalWeb"/>
        <w:numPr>
          <w:ilvl w:val="0"/>
          <w:numId w:val="3"/>
        </w:numPr>
        <w:tabs>
          <w:tab w:val="clear" w:pos="708"/>
          <w:tab w:val="left" w:pos="720" w:leader="none"/>
        </w:tabs>
        <w:spacing w:lineRule="auto" w:line="360" w:beforeAutospacing="0" w:before="0" w:afterAutospacing="0" w:after="0"/>
        <w:ind w:left="72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Realizatorzy zadań bezpośrednio pracujący z osobami znajdującymi się w sytuacji kryzysowej  muszą posiadać udokumentowane kwalifikacje do świadczenia pomocy psychologicznej . </w:t>
      </w:r>
    </w:p>
    <w:p>
      <w:pPr>
        <w:pStyle w:val="NormalWeb"/>
        <w:numPr>
          <w:ilvl w:val="0"/>
          <w:numId w:val="3"/>
        </w:numPr>
        <w:tabs>
          <w:tab w:val="clear" w:pos="708"/>
          <w:tab w:val="left" w:pos="720" w:leader="none"/>
        </w:tabs>
        <w:spacing w:lineRule="auto" w:line="360" w:beforeAutospacing="0" w:before="0" w:afterAutospacing="0" w:after="0"/>
        <w:ind w:left="72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color w:val="000000"/>
          <w:sz w:val="20"/>
          <w:szCs w:val="20"/>
        </w:rPr>
        <w:t xml:space="preserve">Oferent </w:t>
      </w:r>
      <w:r>
        <w:rPr>
          <w:rFonts w:ascii="Verdana" w:hAnsi="Verdana"/>
          <w:sz w:val="20"/>
          <w:szCs w:val="20"/>
        </w:rPr>
        <w:t>nie może pobierać opłat od uczestników zadania.</w:t>
      </w:r>
    </w:p>
    <w:p>
      <w:pPr>
        <w:pStyle w:val="NormalWeb"/>
        <w:numPr>
          <w:ilvl w:val="0"/>
          <w:numId w:val="3"/>
        </w:numPr>
        <w:tabs>
          <w:tab w:val="clear" w:pos="708"/>
          <w:tab w:val="left" w:pos="720" w:leader="none"/>
        </w:tabs>
        <w:spacing w:lineRule="auto" w:line="360" w:beforeAutospacing="0" w:before="0" w:afterAutospacing="0" w:after="120"/>
        <w:ind w:left="72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color w:val="000000"/>
          <w:sz w:val="20"/>
          <w:szCs w:val="20"/>
        </w:rPr>
        <w:t xml:space="preserve">Oferent </w:t>
      </w:r>
      <w:r>
        <w:rPr>
          <w:rFonts w:ascii="Verdana" w:hAnsi="Verdana"/>
          <w:sz w:val="20"/>
          <w:szCs w:val="20"/>
        </w:rPr>
        <w:t>zobowiązany jest do zamieszczenia w widocznym miejscu informacji o prowadzonym programie i źródłach jego finansowania oraz znaku graficznego – logo Wrocławia.</w:t>
      </w:r>
    </w:p>
    <w:p>
      <w:pPr>
        <w:pStyle w:val="BodyTextIndent2"/>
        <w:numPr>
          <w:ilvl w:val="0"/>
          <w:numId w:val="5"/>
        </w:numPr>
        <w:spacing w:lineRule="auto" w:line="360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Oferent </w:t>
      </w:r>
      <w:r>
        <w:rPr>
          <w:rFonts w:ascii="Verdana" w:hAnsi="Verdana"/>
          <w:sz w:val="20"/>
          <w:szCs w:val="20"/>
        </w:rPr>
        <w:t>ponosi odpowiedzialność za ewentualne szkody wyrządzone przy realizacji zadania.</w:t>
      </w:r>
    </w:p>
    <w:p>
      <w:pPr>
        <w:pStyle w:val="BodyTextIndent2"/>
        <w:numPr>
          <w:ilvl w:val="0"/>
          <w:numId w:val="5"/>
        </w:numPr>
        <w:spacing w:lineRule="auto" w: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Monitorowanie i ewaluacja zadania (pkt II. 6 oferty) - należy opisać sposób monitorowania wraz z opisem  narzędzi ewaluacyjnych.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rPr>
          <w:rFonts w:ascii="Verdana" w:hAnsi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Zleceniobiorca obowiązany jest do realizacji zleconego zadania publicznego zgodnie z przepisami art. 5, art. 6 oraz art. 7 ustawy z dnia 19 lipca 2019 r. o </w:t>
      </w:r>
      <w:r>
        <w:rPr>
          <w:rFonts w:cs="Verdana" w:ascii="Verdana" w:hAnsi="Verdana"/>
          <w:i/>
          <w:sz w:val="20"/>
          <w:szCs w:val="20"/>
        </w:rPr>
        <w:t>zapewnieniu dostępności osobom ze szczególnymi potrzebami</w:t>
      </w:r>
      <w:r>
        <w:rPr>
          <w:rFonts w:cs="Verdana" w:ascii="Verdana" w:hAnsi="Verdana"/>
          <w:sz w:val="20"/>
          <w:szCs w:val="20"/>
        </w:rPr>
        <w:t xml:space="preserve"> (Dz. U. z 2020 r. poz. 1062, z późn. zm.).</w:t>
      </w:r>
    </w:p>
    <w:p>
      <w:pPr>
        <w:pStyle w:val="ListParagraph"/>
        <w:spacing w:lineRule="auto" w:line="360" w:before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360"/>
        <w:rPr>
          <w:rFonts w:ascii="Verdana" w:hAnsi="Verdana"/>
          <w:b/>
          <w:b/>
          <w:bCs/>
          <w:sz w:val="20"/>
          <w:szCs w:val="20"/>
        </w:rPr>
      </w:pPr>
      <w:r>
        <w:rPr>
          <w:rFonts w:cs="Tahoma" w:ascii="Verdana" w:hAnsi="Verdana"/>
          <w:b/>
          <w:sz w:val="20"/>
          <w:szCs w:val="20"/>
        </w:rPr>
        <w:t xml:space="preserve">Oferent zobowiązany jest do przestrzegania zapisów ustawy z dnia 13 maja 2016 r. o przeciwdziałaniu zagrożeniom przestępczością na tle seksualnym </w:t>
      </w:r>
      <w:r>
        <w:rPr>
          <w:rFonts w:cs="Tahoma" w:ascii="Verdana" w:hAnsi="Verdana"/>
          <w:sz w:val="20"/>
          <w:szCs w:val="20"/>
        </w:rPr>
        <w:t>w szczególności</w:t>
      </w:r>
      <w:r>
        <w:rPr>
          <w:rFonts w:cs="Tahoma" w:ascii="Verdana" w:hAnsi="Verdana"/>
          <w:b/>
          <w:sz w:val="20"/>
          <w:szCs w:val="20"/>
        </w:rPr>
        <w:t xml:space="preserve"> art. 21</w:t>
      </w:r>
      <w:r>
        <w:rPr>
          <w:rFonts w:cs="Tahoma" w:ascii="Verdana" w:hAnsi="Verdana"/>
          <w:sz w:val="20"/>
          <w:szCs w:val="20"/>
        </w:rPr>
        <w:t xml:space="preserve"> „przed nawiązaniem z osobą stosunku pracy lub przed dopuszczeniem osoby do innej działalności związanej z wychowaniem, edukacją, wypoczynkiem, leczeniem małoletnich lub z opieką nad nimi pracodawcy lub inni organizatorzy w zakresie takiej działalności są obowiązani do uzyskania informacji, czy dane tej osoby są zamieszczone w Rejestrze z dostępem ograniczonym”.</w:t>
      </w:r>
    </w:p>
    <w:p>
      <w:pPr>
        <w:pStyle w:val="Nagwek1"/>
        <w:spacing w:lineRule="auto" w:line="36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IX. KOSZTY REALIZACJI ZADANIA</w:t>
      </w:r>
    </w:p>
    <w:p>
      <w:pPr>
        <w:pStyle w:val="Normal"/>
        <w:keepNext w:val="true"/>
        <w:numPr>
          <w:ilvl w:val="0"/>
          <w:numId w:val="0"/>
        </w:numPr>
        <w:spacing w:lineRule="auto" w:line="360" w:before="0" w:after="0"/>
        <w:outlineLvl w:val="0"/>
        <w:rPr>
          <w:rFonts w:ascii="Verdana" w:hAnsi="Verdana" w:eastAsia="Times New Roman" w:cs="Times New Roman"/>
          <w:b/>
          <w:b/>
          <w:bCs/>
          <w:sz w:val="18"/>
          <w:szCs w:val="24"/>
          <w:lang w:eastAsia="pl-PL"/>
        </w:rPr>
      </w:pPr>
      <w:r>
        <w:rPr>
          <w:rFonts w:eastAsia="Times New Roman" w:cs="Times New Roman" w:ascii="Verdana" w:hAnsi="Verdana"/>
          <w:b/>
          <w:bCs/>
          <w:sz w:val="18"/>
          <w:szCs w:val="24"/>
          <w:lang w:eastAsia="pl-PL"/>
        </w:rPr>
      </w:r>
    </w:p>
    <w:p>
      <w:pPr>
        <w:pStyle w:val="NormalWeb"/>
        <w:spacing w:lineRule="auto" w:line="360" w:beforeAutospacing="0" w:before="0" w:afterAutospacing="0" w:after="120"/>
        <w:ind w:right="110" w:hanging="0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KOSZTY, KTÓRE W SZCZEGÓLNOŚCI BĘDĄ MOGŁY ZOSTAĆ SFINANSOWANE Z DOTACJI:</w:t>
      </w:r>
    </w:p>
    <w:p>
      <w:pPr>
        <w:pStyle w:val="Normal"/>
        <w:spacing w:lineRule="auto" w:line="360" w:before="120" w:after="200"/>
        <w:ind w:right="110" w:hanging="0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Wydatki, które będą ponoszone z dotacji muszą być:</w:t>
      </w:r>
    </w:p>
    <w:p>
      <w:pPr>
        <w:pStyle w:val="Normal"/>
        <w:numPr>
          <w:ilvl w:val="0"/>
          <w:numId w:val="4"/>
        </w:numPr>
        <w:spacing w:lineRule="auto" w:line="360" w:before="120" w:after="0"/>
        <w:ind w:left="1080" w:right="110" w:hanging="360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niezbędne dla realizacji zadania objętego konkursem;</w:t>
      </w:r>
    </w:p>
    <w:p>
      <w:pPr>
        <w:pStyle w:val="Normal"/>
        <w:numPr>
          <w:ilvl w:val="0"/>
          <w:numId w:val="4"/>
        </w:numPr>
        <w:spacing w:lineRule="auto" w:line="360" w:before="120" w:after="0"/>
        <w:ind w:left="1080" w:right="110" w:hanging="360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racjonalne i efektywne oraz spełniać wymogi efektywnego zarządzania finansami (relacja nakład/rezultat);</w:t>
      </w:r>
    </w:p>
    <w:p>
      <w:pPr>
        <w:pStyle w:val="Normal"/>
        <w:numPr>
          <w:ilvl w:val="0"/>
          <w:numId w:val="4"/>
        </w:numPr>
        <w:spacing w:lineRule="auto" w:line="360" w:before="120" w:after="0"/>
        <w:ind w:left="1080" w:right="110" w:hanging="360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faktycznie poniesione w okresie realizacji zadania objętego konkursem;</w:t>
      </w:r>
    </w:p>
    <w:p>
      <w:pPr>
        <w:pStyle w:val="Normal"/>
        <w:numPr>
          <w:ilvl w:val="0"/>
          <w:numId w:val="4"/>
        </w:numPr>
        <w:spacing w:lineRule="auto" w:line="360" w:before="120" w:after="0"/>
        <w:ind w:left="1080" w:right="110" w:hanging="360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odpowiednio udokumentowane;</w:t>
      </w:r>
    </w:p>
    <w:p>
      <w:pPr>
        <w:pStyle w:val="Normal"/>
        <w:numPr>
          <w:ilvl w:val="0"/>
          <w:numId w:val="4"/>
        </w:numPr>
        <w:spacing w:lineRule="auto" w:line="360" w:before="120" w:after="0"/>
        <w:ind w:left="1080" w:right="110" w:hanging="36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zgodne z zatwierdzonym kosztorysem.</w:t>
      </w:r>
    </w:p>
    <w:p>
      <w:pPr>
        <w:pStyle w:val="Normal"/>
        <w:spacing w:lineRule="auto" w:line="360" w:before="120" w:after="200"/>
        <w:ind w:right="110" w:hanging="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  <w:u w:val="single"/>
        </w:rPr>
        <w:t xml:space="preserve"> </w:t>
      </w:r>
      <w:r>
        <w:rPr>
          <w:rFonts w:ascii="Verdana" w:hAnsi="Verdana"/>
          <w:b/>
          <w:bCs/>
          <w:sz w:val="20"/>
          <w:szCs w:val="20"/>
          <w:u w:val="single"/>
        </w:rPr>
        <w:t xml:space="preserve">I. Koszty merytoryczne (bezpośrednio związane z celem realizowanego działania) </w:t>
      </w:r>
      <w:r>
        <w:rPr>
          <w:rFonts w:ascii="Verdana" w:hAnsi="Verdana"/>
          <w:b/>
          <w:bCs/>
          <w:sz w:val="20"/>
          <w:szCs w:val="20"/>
        </w:rPr>
        <w:t>:</w:t>
      </w:r>
    </w:p>
    <w:p>
      <w:pPr>
        <w:pStyle w:val="ListParagraph"/>
        <w:numPr>
          <w:ilvl w:val="0"/>
          <w:numId w:val="13"/>
        </w:numPr>
        <w:spacing w:lineRule="auto" w:line="360" w:before="120" w:after="0"/>
        <w:ind w:left="1500" w:right="11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wynagrodzenia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koordynatora i  pracowników merytorycznych;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900" w:leader="none"/>
        </w:tabs>
        <w:spacing w:lineRule="auto" w:line="360" w:before="120" w:after="0"/>
        <w:ind w:left="1500" w:right="11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inne wynikające ze specyfiki zadania.</w:t>
      </w:r>
    </w:p>
    <w:p>
      <w:pPr>
        <w:pStyle w:val="Normal"/>
        <w:spacing w:lineRule="auto" w:line="360" w:before="120" w:after="200"/>
        <w:ind w:right="110" w:hanging="0"/>
        <w:rPr>
          <w:rFonts w:ascii="Verdana" w:hAnsi="Verdana"/>
          <w:b/>
          <w:b/>
          <w:bCs/>
          <w:sz w:val="20"/>
          <w:szCs w:val="20"/>
          <w:u w:val="single"/>
        </w:rPr>
      </w:pPr>
      <w:r>
        <w:rPr>
          <w:rFonts w:ascii="Verdana" w:hAnsi="Verdana"/>
          <w:b/>
          <w:bCs/>
          <w:sz w:val="20"/>
          <w:szCs w:val="20"/>
          <w:u w:val="single"/>
        </w:rPr>
        <w:t xml:space="preserve">II. Koszty obsługi zadania publicznego, w tym koszty administracyjne (które są związane z wykonywaniem działań o charakterze administracyjnym i kontrolnym, w tym z obsługa finansowa i prawną projektu) - nie mogą przekroczyć 10 % dotacji </w:t>
      </w:r>
    </w:p>
    <w:p>
      <w:pPr>
        <w:pStyle w:val="ListParagraph"/>
        <w:numPr>
          <w:ilvl w:val="0"/>
          <w:numId w:val="14"/>
        </w:numPr>
        <w:spacing w:lineRule="auto" w:line="360" w:before="120" w:after="0"/>
        <w:ind w:left="720" w:right="110" w:hanging="360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koszty eksploatacyjne lokalu (m.in. czynsz, gaz, energia elektryczna, ciepła i zimna woda, ścieki, ogrzewanie) – tylko w części dotyczącej realizowanego zadania, każdy element obliczony proporcjonalnie do tej części;</w:t>
      </w:r>
    </w:p>
    <w:p>
      <w:pPr>
        <w:pStyle w:val="ListParagraph"/>
        <w:numPr>
          <w:ilvl w:val="0"/>
          <w:numId w:val="14"/>
        </w:numPr>
        <w:spacing w:lineRule="auto" w:line="360" w:before="120" w:after="0"/>
        <w:ind w:left="720" w:right="110" w:hanging="360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koszty administracyjne, są to w szczególności:</w:t>
      </w:r>
    </w:p>
    <w:p>
      <w:pPr>
        <w:pStyle w:val="ListParagraph"/>
        <w:numPr>
          <w:ilvl w:val="0"/>
          <w:numId w:val="15"/>
        </w:numPr>
        <w:spacing w:lineRule="auto" w:line="360" w:before="120" w:after="0"/>
        <w:ind w:left="1141" w:right="110" w:hanging="425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obsługa księgowo-kadrowa projektu, </w:t>
      </w:r>
    </w:p>
    <w:p>
      <w:pPr>
        <w:pStyle w:val="Normal"/>
        <w:tabs>
          <w:tab w:val="clear" w:pos="708"/>
          <w:tab w:val="left" w:pos="0" w:leader="none"/>
        </w:tabs>
        <w:spacing w:lineRule="auto" w:line="360" w:before="120" w:after="200"/>
        <w:ind w:right="110" w:hanging="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Uwaga</w:t>
      </w:r>
      <w:r>
        <w:rPr>
          <w:rFonts w:ascii="Verdana" w:hAnsi="Verdana"/>
          <w:sz w:val="20"/>
          <w:szCs w:val="20"/>
        </w:rPr>
        <w:t xml:space="preserve">: Z dotacji można rozliczyć wyłącznie wynagrodzenie za prowadzenie wyodrębnionej dokumentacji finansowo-księgowej środków finansowych otrzymanych na realizację zadania zgodnie z zasadami wynikającymi z </w:t>
      </w:r>
      <w:r>
        <w:rPr>
          <w:rFonts w:ascii="Verdana" w:hAnsi="Verdana"/>
          <w:i/>
          <w:iCs/>
          <w:sz w:val="20"/>
          <w:szCs w:val="20"/>
        </w:rPr>
        <w:t>ustawy z dnia 29 września 1994 r. o rachunkowości</w:t>
      </w:r>
      <w:r>
        <w:rPr>
          <w:rFonts w:ascii="Verdana" w:hAnsi="Verdana"/>
          <w:sz w:val="20"/>
          <w:szCs w:val="20"/>
        </w:rPr>
        <w:t>, w sposób umożliwiający identyfikację poszczególnych operacji księgowych. Wyodrębnienie obowiązuje wszystkie zespoły kont, na których ewidencjonuje się operacje związane z zadaniem tak, aby możliwe było wyodrębnienie ewidencji środków pieniężnych, rozrachunków, kosztów, przychodów itd. W przypadku dokumentów księgowych, które tylko w części dotyczą zadania, kwoty z nich wynikające powinny być odpowiednio dzielone na związane z realizacją zadania bądź nie i ujmowane na odrębnych kontach. Muszą one także być poparte odpowiednią dokumentacją, potwierdzającą prawidłowość podziału kwot.</w:t>
      </w:r>
    </w:p>
    <w:p>
      <w:pPr>
        <w:pStyle w:val="Normal"/>
        <w:spacing w:lineRule="auto" w:line="360" w:before="120" w:after="200"/>
        <w:ind w:right="110" w:hang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</w:t>
      </w:r>
      <w:r>
        <w:rPr>
          <w:rFonts w:ascii="Verdana" w:hAnsi="Verdana"/>
          <w:sz w:val="20"/>
          <w:szCs w:val="20"/>
        </w:rPr>
        <w:t>- materiały biurowe,</w:t>
      </w:r>
    </w:p>
    <w:p>
      <w:pPr>
        <w:pStyle w:val="Normal"/>
        <w:numPr>
          <w:ilvl w:val="0"/>
          <w:numId w:val="21"/>
        </w:numPr>
        <w:spacing w:lineRule="auto" w:line="360" w:before="120" w:after="0"/>
        <w:ind w:left="1010" w:right="110" w:hanging="29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opłaty pocztowe i bankowe</w:t>
      </w:r>
      <w:r>
        <w:rPr>
          <w:rFonts w:ascii="Verdana" w:hAnsi="Verdana"/>
          <w:bCs/>
          <w:sz w:val="20"/>
          <w:szCs w:val="20"/>
        </w:rPr>
        <w:t xml:space="preserve"> , jedynie w części związanej z realizacją zadania tj.</w:t>
      </w:r>
      <w:r>
        <w:rPr>
          <w:rFonts w:ascii="Verdana" w:hAnsi="Verdana"/>
          <w:sz w:val="20"/>
          <w:szCs w:val="20"/>
        </w:rPr>
        <w:t xml:space="preserve"> koszty   przelewu wynagrodzeń i koszty przelewu należności za realizację zakupionych usług związanych z realizacją zadania.</w:t>
      </w:r>
    </w:p>
    <w:p>
      <w:pPr>
        <w:pStyle w:val="Normal"/>
        <w:numPr>
          <w:ilvl w:val="0"/>
          <w:numId w:val="21"/>
        </w:numPr>
        <w:spacing w:lineRule="auto" w:line="360" w:before="120" w:after="0"/>
        <w:ind w:left="1010" w:right="110" w:hanging="29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koszty telekomunikacyjne</w:t>
      </w:r>
    </w:p>
    <w:p>
      <w:pPr>
        <w:pStyle w:val="Normal"/>
        <w:numPr>
          <w:ilvl w:val="0"/>
          <w:numId w:val="21"/>
        </w:numPr>
        <w:spacing w:lineRule="auto" w:line="360" w:before="120" w:after="0"/>
        <w:ind w:left="1010" w:right="110" w:hanging="29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koszty usług ksero i poligraficznych</w:t>
      </w:r>
    </w:p>
    <w:p>
      <w:pPr>
        <w:pStyle w:val="Normal"/>
        <w:numPr>
          <w:ilvl w:val="0"/>
          <w:numId w:val="4"/>
        </w:numPr>
        <w:spacing w:lineRule="auto" w:line="360" w:before="120" w:after="0"/>
        <w:ind w:left="1010" w:right="110" w:hanging="294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zakup i uzupełnienie drobnego wyposażenia do pomieszczeń – tylko w uzasadnionych przypadkach, opisanych w ofercie , </w:t>
      </w:r>
    </w:p>
    <w:p>
      <w:pPr>
        <w:pStyle w:val="Normal"/>
        <w:numPr>
          <w:ilvl w:val="0"/>
          <w:numId w:val="22"/>
        </w:numPr>
        <w:spacing w:lineRule="auto" w:line="360" w:before="120" w:after="0"/>
        <w:ind w:left="1080" w:right="110"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Koszty promocji projektu</w:t>
      </w:r>
      <w:r>
        <w:rPr>
          <w:rFonts w:ascii="Verdana" w:hAnsi="Verdana"/>
          <w:bCs/>
          <w:sz w:val="20"/>
          <w:szCs w:val="20"/>
        </w:rPr>
        <w:t xml:space="preserve">– </w:t>
      </w:r>
      <w:r>
        <w:rPr>
          <w:rFonts w:ascii="Verdana" w:hAnsi="Verdana"/>
          <w:b/>
          <w:bCs/>
          <w:sz w:val="20"/>
          <w:szCs w:val="20"/>
        </w:rPr>
        <w:t>nie mogą przekroczyć 3% dotacji</w:t>
      </w:r>
      <w:r>
        <w:rPr>
          <w:rFonts w:ascii="Verdana" w:hAnsi="Verdana"/>
          <w:bCs/>
          <w:sz w:val="20"/>
          <w:szCs w:val="20"/>
        </w:rPr>
        <w:t>,</w:t>
      </w:r>
    </w:p>
    <w:p>
      <w:pPr>
        <w:pStyle w:val="Normal"/>
        <w:numPr>
          <w:ilvl w:val="0"/>
          <w:numId w:val="4"/>
        </w:numPr>
        <w:spacing w:lineRule="auto" w:line="360" w:before="120" w:after="0"/>
        <w:ind w:left="1010" w:right="110" w:hanging="29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druk/produkcja ulotek, materiałów informacyjnych</w:t>
      </w:r>
    </w:p>
    <w:p>
      <w:pPr>
        <w:pStyle w:val="Normal"/>
        <w:tabs>
          <w:tab w:val="clear" w:pos="708"/>
          <w:tab w:val="left" w:pos="0" w:leader="none"/>
        </w:tabs>
        <w:spacing w:lineRule="auto" w:line="360" w:before="120" w:after="200"/>
        <w:ind w:right="110" w:hanging="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Uwaga: </w:t>
      </w:r>
      <w:r>
        <w:rPr>
          <w:rFonts w:ascii="Verdana" w:hAnsi="Verdana"/>
          <w:sz w:val="20"/>
          <w:szCs w:val="20"/>
        </w:rPr>
        <w:t>przyznana dotacja może być wydatkowana tylko na cele związane z realizowanym zadaniem i wyłącznie na potrzeby osób, do których jest ono adresowane.</w:t>
      </w:r>
    </w:p>
    <w:p>
      <w:pPr>
        <w:pStyle w:val="Normal"/>
        <w:spacing w:lineRule="auto" w:line="360" w:before="120" w:after="200"/>
        <w:ind w:right="110" w:hanging="0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360" w:before="120" w:after="200"/>
        <w:ind w:right="110" w:hanging="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Uwaga: Oferta zostanie odrzucona ze względów formalnych, w przypadku przekroczenia limitów wydatków, o których mowa w punkcie II.1 .</w:t>
      </w:r>
    </w:p>
    <w:p>
      <w:pPr>
        <w:pStyle w:val="NormalWeb"/>
        <w:spacing w:lineRule="auto" w:line="360" w:beforeAutospacing="0" w:before="0" w:afterAutospacing="0" w:after="120"/>
        <w:ind w:right="110" w:hanging="0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</w:r>
    </w:p>
    <w:p>
      <w:pPr>
        <w:pStyle w:val="Normal"/>
        <w:spacing w:lineRule="auto" w:line="360" w:before="120" w:after="0"/>
        <w:ind w:right="110" w:hanging="0"/>
        <w:rPr>
          <w:rFonts w:ascii="Verdana" w:hAnsi="Verdana" w:eastAsia="Times New Roman" w:cs="Times New Roman"/>
          <w:b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b/>
          <w:bCs/>
          <w:color w:val="000000"/>
          <w:sz w:val="20"/>
          <w:szCs w:val="20"/>
          <w:lang w:eastAsia="pl-PL"/>
        </w:rPr>
        <w:t>KOSZTY, KTÓRE W SZCZEGÓLNOŚCI NIE MOGĄ ZOSTAĆ SFINANSOWANE Z DOTACJI: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Zakup gruntów, budowa bądź zakup budynków lub lokali. 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Zakup środków trwałych.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Zakupy i wydatki inwestycyjne, remonty i adaptacje pomieszczeń niebędących własnością Gminy Wrocław. 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Zakup wyposażenia lokali oraz </w:t>
      </w:r>
      <w:r>
        <w:rPr>
          <w:rFonts w:ascii="Verdana" w:hAnsi="Verdana"/>
          <w:bCs/>
          <w:sz w:val="20"/>
          <w:szCs w:val="20"/>
        </w:rPr>
        <w:t>zakupu sprzętu do realizacji zadania o wartości jednostkowej powyżej   10 000 PLN każdy.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Odpisy amortyzacyjne. 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Ryczałt na jazdę po mieście itp., których nie można jednoznacznie przypisać do realizowanego zadania.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Prowadzenie działalności gospodarczej.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Tworzenie funduszy kapitałowych. 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Działania, których celem jest prowadzenie badań naukowych, analiz i studiów. 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Działania, których celem jest przyznawanie dotacji lub stypendiów dla osób prawnych lub fizycznych.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Dotowanie przedsięwzięć, które są dofinansowywane z budżetu miasta lub jego funduszy celowych na podstawie przepisów szczególnych. 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Pokrycie deficytu oraz refundacja kosztów zrealizowanych wcześniej przedsięwzięć, rezerwy na pokrycie przyszłych strat lub zobowiązań.</w:t>
      </w:r>
    </w:p>
    <w:p>
      <w:pPr>
        <w:pStyle w:val="BodyText3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/>
          <w:b/>
          <w:b/>
          <w:bCs/>
          <w:sz w:val="20"/>
          <w:szCs w:val="20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Podatek od towarów i usług (VAT) w wysokości której podatnikowi przysługuje prawo do obniżenia kwoty podatku należnego o kwotę podatku naliczonego oraz inne podatki z wyłączeniem podatku dochodowego od osób fizycznych (PDOF) oraz opłat za wywóz nieczystości.</w:t>
      </w:r>
      <w:r>
        <w:rPr>
          <w:rFonts w:ascii="Verdana" w:hAnsi="Verdana"/>
          <w:sz w:val="20"/>
          <w:szCs w:val="20"/>
        </w:rPr>
        <w:t xml:space="preserve"> </w:t>
      </w:r>
    </w:p>
    <w:p>
      <w:pPr>
        <w:pStyle w:val="BodyText3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Opłaty pocztowe i bankowe, za wyjątkiem kosztów bankowych wykazanych w punkcie II.2 KOSZTÓW, KTÓRE W SZCZEGÓLNOŚCI BĘDĄ MOGŁY ZOSTAĆ SFINANSOWANE Z DOTACJI.</w:t>
      </w:r>
    </w:p>
    <w:p>
      <w:pPr>
        <w:pStyle w:val="BodyText3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Refinansowanie kosztów uzyskania odpisów KRS, zakupu pieczątek, wyrabiania szyldów i innych kosztów o podobnym charakterze, które związane są z bieżącą działalnością oferenta.</w:t>
      </w:r>
    </w:p>
    <w:p>
      <w:pPr>
        <w:pStyle w:val="BodyText3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Zakup licencji, nabywanie uprawnień i kwalifikacji związanych z wykonywanym zadaniem.</w:t>
      </w:r>
    </w:p>
    <w:p>
      <w:pPr>
        <w:pStyle w:val="BodyText3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Pokrywanie  z dotacji nagród i  premii pieniężnych, innych form bonifikaty rzeczowej lub finansowej dla osób zajmujących się realizacją zadania.</w:t>
      </w:r>
    </w:p>
    <w:p>
      <w:pPr>
        <w:pStyle w:val="BodyText3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Koszty dokumentowane paragonami, pokwitowaniami, dowodami sprzedaży wewnętrznej, wewnętrznymi notami obciążeniowymi itp.</w:t>
      </w:r>
    </w:p>
    <w:p>
      <w:pPr>
        <w:pStyle w:val="BodyText3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Kary, mandaty, odsetki od nieterminowo regulowanych zobowiązań.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540" w:leader="none"/>
        </w:tabs>
        <w:spacing w:lineRule="auto" w:line="360" w:before="120" w:after="0"/>
        <w:ind w:left="540" w:right="110" w:hanging="54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>Koszty procesów sądowych.</w:t>
      </w:r>
    </w:p>
    <w:p>
      <w:pPr>
        <w:pStyle w:val="Nagwek1"/>
        <w:spacing w:lineRule="auto" w:line="360"/>
        <w:rPr>
          <w:sz w:val="20"/>
          <w:szCs w:val="20"/>
        </w:rPr>
      </w:pPr>
      <w:r>
        <w:rPr>
          <w:sz w:val="20"/>
          <w:szCs w:val="20"/>
        </w:rPr>
        <w:t>X. WARUNKI SKŁADANIA OFERT</w:t>
      </w:r>
    </w:p>
    <w:p>
      <w:pPr>
        <w:pStyle w:val="Normal"/>
        <w:numPr>
          <w:ilvl w:val="0"/>
          <w:numId w:val="7"/>
        </w:numPr>
        <w:spacing w:lineRule="auto" w:line="360" w:before="0" w:after="120"/>
        <w:ind w:left="720" w:right="108" w:hanging="36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Oferent może złożyć w konkursie tylko jedną ofertę (w przypadku złożenia większej liczby ofert, wszystkie zostaną odrzucone ze względów formalnych).</w:t>
      </w:r>
    </w:p>
    <w:p>
      <w:pPr>
        <w:pStyle w:val="Normal"/>
        <w:numPr>
          <w:ilvl w:val="0"/>
          <w:numId w:val="7"/>
        </w:numPr>
        <w:spacing w:lineRule="auto" w:line="360" w:before="0" w:after="120"/>
        <w:ind w:left="720" w:right="108" w:hanging="36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Oferent jest zobowiązany do złożenia oferty realizacji zadania w jednym egzemplarzu, która jest zgodna z wzorem oferty stanowiącym </w:t>
      </w:r>
      <w:r>
        <w:rPr>
          <w:rFonts w:eastAsia="Times New Roman" w:cs="Times New Roman" w:ascii="Verdana" w:hAnsi="Verdana"/>
          <w:b/>
          <w:bCs/>
          <w:color w:val="000000"/>
          <w:sz w:val="20"/>
          <w:szCs w:val="20"/>
          <w:lang w:eastAsia="pl-PL"/>
        </w:rPr>
        <w:t>Załącznik Nr 1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 do niniejszego ogłoszenia.</w:t>
      </w:r>
    </w:p>
    <w:p>
      <w:pPr>
        <w:pStyle w:val="Normal"/>
        <w:numPr>
          <w:ilvl w:val="0"/>
          <w:numId w:val="7"/>
        </w:numPr>
        <w:spacing w:lineRule="auto" w:line="360" w:before="0" w:after="120"/>
        <w:ind w:left="720" w:right="108" w:hanging="36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Ofertę należy:</w:t>
      </w:r>
    </w:p>
    <w:p>
      <w:pPr>
        <w:pStyle w:val="Normal"/>
        <w:numPr>
          <w:ilvl w:val="1"/>
          <w:numId w:val="7"/>
        </w:numPr>
        <w:spacing w:lineRule="auto" w:line="360" w:before="0" w:after="120"/>
        <w:ind w:left="1434" w:right="108" w:hanging="357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sporządzić w języku polskim,</w:t>
      </w:r>
    </w:p>
    <w:p>
      <w:pPr>
        <w:pStyle w:val="Normal"/>
        <w:numPr>
          <w:ilvl w:val="1"/>
          <w:numId w:val="7"/>
        </w:numPr>
        <w:spacing w:lineRule="auto" w:line="360" w:before="0" w:after="120"/>
        <w:ind w:left="1434" w:right="108" w:hanging="357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sporządzić w formie pisemnej pod rygorem nieważności, wypełnić maszynowo albo komputerowo wraz z ponumerowaniem każdej strony,</w:t>
      </w:r>
    </w:p>
    <w:p>
      <w:pPr>
        <w:pStyle w:val="Normal"/>
        <w:numPr>
          <w:ilvl w:val="1"/>
          <w:numId w:val="7"/>
        </w:numPr>
        <w:spacing w:lineRule="auto" w:line="360" w:before="0" w:after="120"/>
        <w:ind w:left="1434" w:right="108" w:hanging="357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sporządzić w sposób umożliwiający dopięcie jej jako załącznika do umowy, a więc z wykluczeniem sposobów trwałego spinania dokumentów (bindowanie, zszywanie i in.).</w:t>
      </w:r>
    </w:p>
    <w:p>
      <w:pPr>
        <w:pStyle w:val="Normal"/>
        <w:numPr>
          <w:ilvl w:val="0"/>
          <w:numId w:val="7"/>
        </w:numPr>
        <w:spacing w:lineRule="auto" w:line="360" w:before="0" w:after="120"/>
        <w:ind w:left="720" w:right="108" w:hanging="36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Oferta musi być podpisana przez osoby uprawnione do reprezentacji Oferenta.</w:t>
      </w:r>
    </w:p>
    <w:p>
      <w:pPr>
        <w:pStyle w:val="Normal"/>
        <w:numPr>
          <w:ilvl w:val="0"/>
          <w:numId w:val="7"/>
        </w:numPr>
        <w:spacing w:lineRule="auto" w:line="360" w:before="0" w:after="120"/>
        <w:ind w:left="720" w:right="108" w:hanging="36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Po upływie  terminu składania ofert nie podlegają one uzupełnieniu ani korekcie. </w:t>
      </w:r>
    </w:p>
    <w:p>
      <w:pPr>
        <w:pStyle w:val="Normal"/>
        <w:numPr>
          <w:ilvl w:val="0"/>
          <w:numId w:val="7"/>
        </w:numPr>
        <w:spacing w:lineRule="auto" w:line="360" w:before="0" w:after="120"/>
        <w:ind w:left="720" w:right="108" w:hanging="36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Złożenie oferty nie jest równoznaczne z zapewnieniem przyznania dotacji.</w:t>
      </w:r>
    </w:p>
    <w:p>
      <w:pPr>
        <w:pStyle w:val="Normal"/>
        <w:numPr>
          <w:ilvl w:val="0"/>
          <w:numId w:val="7"/>
        </w:numPr>
        <w:spacing w:lineRule="auto" w:line="360" w:before="0" w:after="120"/>
        <w:ind w:left="720" w:right="108" w:hanging="360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sz w:val="20"/>
          <w:szCs w:val="20"/>
          <w:lang w:eastAsia="pl-PL"/>
        </w:rPr>
        <w:t>Złożone oferty podlegają ocenie formalnej i merytorycznej.</w:t>
      </w:r>
    </w:p>
    <w:p>
      <w:pPr>
        <w:pStyle w:val="Nagwek1"/>
        <w:spacing w:lineRule="auto" w:line="360"/>
        <w:rPr>
          <w:u w:val="single"/>
        </w:rPr>
      </w:pPr>
      <w:r>
        <w:rPr/>
        <w:t>XI. ZAŁĄCZNIKI OBLIGATORYJNE</w:t>
      </w:r>
    </w:p>
    <w:p>
      <w:pPr>
        <w:pStyle w:val="Normal"/>
        <w:spacing w:lineRule="auto" w:line="360"/>
        <w:rPr>
          <w:rFonts w:ascii="Verdana" w:hAnsi="Verdana"/>
          <w:color w:val="000000"/>
          <w:sz w:val="18"/>
          <w:szCs w:val="20"/>
        </w:rPr>
      </w:pPr>
      <w:r>
        <w:rPr>
          <w:rFonts w:ascii="Verdana" w:hAnsi="Verdana"/>
          <w:b/>
          <w:bCs/>
          <w:color w:val="000000"/>
          <w:sz w:val="18"/>
          <w:szCs w:val="20"/>
        </w:rPr>
        <w:t>SKŁADANE WRAZ Z OFERTĄ NA REALIZACJĘ ZADANIA PUBLICZNEGO</w:t>
      </w:r>
    </w:p>
    <w:p>
      <w:pPr>
        <w:pStyle w:val="BodyText2"/>
        <w:spacing w:lineRule="auto" w:line="360" w:before="0" w:after="0"/>
        <w:rPr>
          <w:rFonts w:ascii="Verdana" w:hAnsi="Verdana" w:eastAsia="Calibri" w:cs="Times New Roman"/>
          <w:sz w:val="20"/>
          <w:szCs w:val="20"/>
        </w:rPr>
      </w:pPr>
      <w:r>
        <w:rPr>
          <w:rFonts w:ascii="Verdana" w:hAnsi="Verdana"/>
          <w:color w:val="000000"/>
          <w:sz w:val="18"/>
          <w:szCs w:val="20"/>
        </w:rPr>
        <w:t xml:space="preserve">w </w:t>
      </w:r>
      <w:r>
        <w:rPr>
          <w:rFonts w:eastAsia="Calibri" w:cs="Times New Roman" w:ascii="Verdana" w:hAnsi="Verdana"/>
          <w:sz w:val="20"/>
          <w:szCs w:val="20"/>
        </w:rPr>
        <w:t xml:space="preserve">Kancelarii Urzędu Miejskiego Wrocławia ul. Bogusławskiego 8-10, </w:t>
      </w:r>
    </w:p>
    <w:p>
      <w:pPr>
        <w:pStyle w:val="BodyText2"/>
        <w:spacing w:lineRule="auto" w:line="360" w:before="0" w:after="0"/>
        <w:rPr>
          <w:rFonts w:ascii="Verdana" w:hAnsi="Verdana"/>
          <w:color w:val="000000"/>
          <w:sz w:val="18"/>
          <w:szCs w:val="20"/>
        </w:rPr>
      </w:pPr>
      <w:r>
        <w:rPr>
          <w:rFonts w:ascii="Verdana" w:hAnsi="Verdana"/>
          <w:color w:val="000000"/>
          <w:sz w:val="18"/>
          <w:szCs w:val="20"/>
        </w:rPr>
      </w:r>
    </w:p>
    <w:p>
      <w:pPr>
        <w:pStyle w:val="Normal"/>
        <w:spacing w:lineRule="auto" w:line="360" w:before="0" w:after="0"/>
        <w:rPr>
          <w:rFonts w:ascii="Verdana" w:hAnsi="Verdana" w:eastAsia="Times New Roman" w:cs="Times New Roman"/>
          <w:b/>
          <w:b/>
          <w:bCs/>
          <w:sz w:val="20"/>
          <w:szCs w:val="20"/>
          <w:highlight w:val="lightGray"/>
          <w:lang w:eastAsia="pl-PL"/>
        </w:rPr>
      </w:pPr>
      <w:r>
        <w:rPr>
          <w:rFonts w:eastAsia="Times New Roman" w:cs="Times New Roman" w:ascii="Verdana" w:hAnsi="Verdana"/>
          <w:b/>
          <w:bCs/>
          <w:sz w:val="20"/>
          <w:szCs w:val="20"/>
          <w:highlight w:val="lightGray"/>
          <w:lang w:eastAsia="pl-PL"/>
        </w:rPr>
        <w:t>UWAGA WAŻNE!</w:t>
      </w:r>
    </w:p>
    <w:p>
      <w:pPr>
        <w:pStyle w:val="Normal"/>
        <w:spacing w:lineRule="auto" w:line="360" w:before="0" w:after="0"/>
        <w:rPr>
          <w:rFonts w:ascii="Verdana" w:hAnsi="Verdana" w:eastAsia="Times New Roman" w:cs="Times New Roman"/>
          <w:sz w:val="20"/>
          <w:szCs w:val="20"/>
          <w:highlight w:val="lightGray"/>
          <w:lang w:eastAsia="pl-PL"/>
        </w:rPr>
      </w:pPr>
      <w:r>
        <w:rPr>
          <w:rFonts w:eastAsia="Times New Roman" w:cs="Times New Roman" w:ascii="Verdana" w:hAnsi="Verdana"/>
          <w:sz w:val="20"/>
          <w:szCs w:val="20"/>
          <w:highlight w:val="lightGray"/>
          <w:lang w:eastAsia="pl-PL"/>
        </w:rPr>
        <w:t>Wszystkie dokumenty i oświadczenia dołączone do oferty należy składać w formie podpisanego oryginału lub kserokopii poświadczonej za zgodność z oryginałem na każdej stronie.</w:t>
      </w:r>
    </w:p>
    <w:p>
      <w:pPr>
        <w:pStyle w:val="Normal"/>
        <w:tabs>
          <w:tab w:val="clear" w:pos="708"/>
          <w:tab w:val="left" w:pos="1440" w:leader="none"/>
          <w:tab w:val="left" w:pos="1843" w:leader="none"/>
        </w:tabs>
        <w:spacing w:lineRule="auto" w:line="360" w:before="120" w:after="0"/>
        <w:ind w:right="110" w:hanging="0"/>
        <w:rPr>
          <w:rFonts w:ascii="Verdana" w:hAnsi="Verdana" w:eastAsia="Times New Roman" w:cs="Times New Roman"/>
          <w:sz w:val="20"/>
          <w:szCs w:val="20"/>
          <w:highlight w:val="lightGray"/>
          <w:lang w:eastAsia="pl-PL"/>
        </w:rPr>
      </w:pPr>
      <w:r>
        <w:rPr>
          <w:rFonts w:eastAsia="Times New Roman" w:cs="Times New Roman" w:ascii="Verdana" w:hAnsi="Verdana"/>
          <w:sz w:val="20"/>
          <w:szCs w:val="20"/>
          <w:highlight w:val="lightGray"/>
          <w:lang w:eastAsia="pl-PL"/>
        </w:rPr>
        <w:t xml:space="preserve">Dokumenty muszą być podpisane przez osoby upoważnione do składania oświadczeń woli ze strony podmiotu, </w:t>
      </w:r>
      <w:r>
        <w:rPr>
          <w:rFonts w:eastAsia="Times New Roman" w:cs="Times New Roman" w:ascii="Verdana" w:hAnsi="Verdana"/>
          <w:sz w:val="20"/>
          <w:szCs w:val="20"/>
          <w:highlight w:val="lightGray"/>
          <w:u w:val="single"/>
          <w:lang w:eastAsia="pl-PL"/>
        </w:rPr>
        <w:t>na każdej stronie</w:t>
      </w:r>
      <w:r>
        <w:rPr>
          <w:rFonts w:eastAsia="Times New Roman" w:cs="Times New Roman" w:ascii="Verdana" w:hAnsi="Verdana"/>
          <w:sz w:val="20"/>
          <w:szCs w:val="20"/>
          <w:highlight w:val="lightGray"/>
          <w:lang w:eastAsia="pl-PL"/>
        </w:rPr>
        <w:t xml:space="preserve">. </w:t>
      </w:r>
    </w:p>
    <w:p>
      <w:pPr>
        <w:pStyle w:val="Normal"/>
        <w:spacing w:lineRule="auto" w:line="360"/>
        <w:rPr>
          <w:rFonts w:ascii="Verdana" w:hAnsi="Verdana"/>
          <w:sz w:val="20"/>
          <w:szCs w:val="20"/>
        </w:rPr>
      </w:pPr>
      <w:r>
        <w:rPr>
          <w:rFonts w:eastAsia="Times New Roman" w:cs="Times New Roman" w:ascii="Verdana" w:hAnsi="Verdana"/>
          <w:sz w:val="20"/>
          <w:szCs w:val="20"/>
          <w:lang w:eastAsia="pl-PL"/>
        </w:rPr>
        <w:t>Podpisy osób upoważnionych muszą być zgodne z rejestrem (np. KRS) lub innym dokumentem określającym sposób reprezentacji oferenta i składania oświadczeń woli w imieniu oferenta.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360" w:leader="none"/>
        </w:tabs>
        <w:spacing w:lineRule="auto" w:line="360" w:before="0" w:after="120"/>
        <w:ind w:left="36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Dokumenty dotyczące Oferenta:</w:t>
      </w:r>
    </w:p>
    <w:p>
      <w:pPr>
        <w:pStyle w:val="Normal"/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Aktualny odpis z odpowiedniego rejestru lub inne dokumenty informujące o statusie prawnym podmiotu składającego ofertę i umocowanie osób go reprezentujących.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360" w:leader="none"/>
        </w:tabs>
        <w:spacing w:lineRule="auto" w:line="360" w:before="0" w:after="120"/>
        <w:ind w:left="36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Oświadczenie osoby/osób uprawnionej/-ych do reprezentowania podmiotu składającego ofertę (</w:t>
      </w:r>
      <w:r>
        <w:rPr>
          <w:rFonts w:ascii="Verdana" w:hAnsi="Verdana"/>
          <w:b/>
          <w:bCs/>
          <w:sz w:val="20"/>
          <w:szCs w:val="20"/>
        </w:rPr>
        <w:t>Załącznik nr 2</w:t>
      </w:r>
      <w:r>
        <w:rPr>
          <w:rFonts w:ascii="Verdana" w:hAnsi="Verdana"/>
          <w:sz w:val="20"/>
          <w:szCs w:val="20"/>
        </w:rPr>
        <w:t>):</w:t>
      </w:r>
    </w:p>
    <w:p>
      <w:pPr>
        <w:pStyle w:val="Normal"/>
        <w:numPr>
          <w:ilvl w:val="0"/>
          <w:numId w:val="8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 niekaralności zakazem pełnienia funkcji związanych z dysponowaniem środkami </w:t>
      </w:r>
      <w:r>
        <w:rPr>
          <w:rStyle w:val="Luchili"/>
          <w:rFonts w:ascii="Verdana" w:hAnsi="Verdana"/>
          <w:sz w:val="20"/>
          <w:szCs w:val="20"/>
        </w:rPr>
        <w:t>publicznymi</w:t>
      </w:r>
      <w:r>
        <w:rPr>
          <w:rFonts w:ascii="Verdana" w:hAnsi="Verdana"/>
          <w:sz w:val="20"/>
          <w:szCs w:val="20"/>
        </w:rPr>
        <w:t xml:space="preserve"> oraz niekaralności za umyślne przestępstwo lub umyślne przestępstwo skarbowe;</w:t>
      </w:r>
    </w:p>
    <w:p>
      <w:pPr>
        <w:pStyle w:val="Normal"/>
        <w:numPr>
          <w:ilvl w:val="0"/>
          <w:numId w:val="8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wskazujące, że kwota środków przeznaczona zostanie na realizację zadania zgodnie z ofertą i że w tym zakresie zadanie nie będzie finansowane z innych źródeł.</w:t>
      </w:r>
    </w:p>
    <w:p>
      <w:pPr>
        <w:pStyle w:val="Normal"/>
        <w:numPr>
          <w:ilvl w:val="0"/>
          <w:numId w:val="10"/>
        </w:numPr>
        <w:tabs>
          <w:tab w:val="clear" w:pos="708"/>
          <w:tab w:val="left" w:pos="360" w:leader="none"/>
        </w:tabs>
        <w:spacing w:lineRule="auto" w:line="360" w:before="0" w:after="120"/>
        <w:ind w:left="360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Oświadczenie Oferenta (</w:t>
      </w:r>
      <w:r>
        <w:rPr>
          <w:rFonts w:ascii="Verdana" w:hAnsi="Verdana"/>
          <w:b/>
          <w:bCs/>
          <w:sz w:val="20"/>
          <w:szCs w:val="20"/>
        </w:rPr>
        <w:t>Załącznik nr 3</w:t>
      </w:r>
      <w:r>
        <w:rPr>
          <w:rFonts w:ascii="Verdana" w:hAnsi="Verdana"/>
          <w:sz w:val="20"/>
          <w:szCs w:val="20"/>
        </w:rPr>
        <w:t>):</w:t>
      </w:r>
    </w:p>
    <w:p>
      <w:pPr>
        <w:pStyle w:val="Normal"/>
        <w:numPr>
          <w:ilvl w:val="0"/>
          <w:numId w:val="9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potwierdzające, że w stosunku do podmiotu składającego ofertę nie stwierdzono niezgodnego z przeznaczeniem wykorzystania środków </w:t>
      </w:r>
      <w:r>
        <w:rPr>
          <w:rStyle w:val="Luchili"/>
          <w:rFonts w:ascii="Verdana" w:hAnsi="Verdana"/>
          <w:sz w:val="20"/>
          <w:szCs w:val="20"/>
        </w:rPr>
        <w:t>publicznych</w:t>
      </w:r>
      <w:r>
        <w:rPr>
          <w:rFonts w:ascii="Verdana" w:hAnsi="Verdana"/>
          <w:sz w:val="20"/>
          <w:szCs w:val="20"/>
        </w:rPr>
        <w:t>;</w:t>
      </w:r>
    </w:p>
    <w:p>
      <w:pPr>
        <w:pStyle w:val="Normal"/>
        <w:numPr>
          <w:ilvl w:val="0"/>
          <w:numId w:val="9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podmiot składający ofertę jest jedynym posiadaczem rachunku, na który zostaną przekazane środki, i zobowiązuje się go utrzymywać do chwili zaakceptowania rozliczenia tych środków pod względem finansowym i rzeczowym;</w:t>
      </w:r>
    </w:p>
    <w:p>
      <w:pPr>
        <w:pStyle w:val="Normal"/>
        <w:numPr>
          <w:ilvl w:val="0"/>
          <w:numId w:val="9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dotyczące zapoznania się z treścią ogłoszenia konkursowego;</w:t>
      </w:r>
    </w:p>
    <w:p>
      <w:pPr>
        <w:pStyle w:val="Normal"/>
        <w:numPr>
          <w:ilvl w:val="0"/>
          <w:numId w:val="9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dotyczące zapewnienia bazy lokalowej;</w:t>
      </w:r>
    </w:p>
    <w:p>
      <w:pPr>
        <w:pStyle w:val="Normal"/>
        <w:numPr>
          <w:ilvl w:val="0"/>
          <w:numId w:val="9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posiadaniu zespołu specjalistów z odpowiednimi kwalifikacjami i doświadczeniem zawodowym;</w:t>
      </w:r>
    </w:p>
    <w:p>
      <w:pPr>
        <w:pStyle w:val="Normal"/>
        <w:numPr>
          <w:ilvl w:val="0"/>
          <w:numId w:val="9"/>
        </w:numPr>
        <w:spacing w:lineRule="auto" w:line="360" w:before="0" w:after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posiadania dokumentacji zgodnej z ustawą z dnia 29 sierpnia 1997 r. o ochronie danych osobowych (Dz. U. 2016, poz. 922) oraz Rozporządzeniem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(Dz. U. Nr 100, poz. 1024), tj.:</w:t>
      </w:r>
    </w:p>
    <w:p>
      <w:pPr>
        <w:pStyle w:val="Normal"/>
        <w:spacing w:lineRule="auto" w:line="360" w:before="0" w:after="120"/>
        <w:ind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Politykę Bezpieczeństwa Danych Osobowych,</w:t>
      </w:r>
    </w:p>
    <w:p>
      <w:pPr>
        <w:pStyle w:val="Wcicietrecitekstu"/>
        <w:spacing w:lineRule="auto" w:line="360"/>
        <w:ind w:left="720" w:hang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Instrukcję Zarządzania Systemem Informatycznym służącym do przetwarzania danych osobowych.</w:t>
      </w:r>
    </w:p>
    <w:p>
      <w:pPr>
        <w:pStyle w:val="Normal"/>
        <w:tabs>
          <w:tab w:val="clear" w:pos="708"/>
          <w:tab w:val="left" w:pos="1440" w:leader="none"/>
          <w:tab w:val="left" w:pos="1843" w:leader="none"/>
        </w:tabs>
        <w:spacing w:lineRule="auto" w:line="360" w:before="120" w:after="200"/>
        <w:ind w:right="110" w:hanging="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Składający oświadczenia jest zobowiązany do zawarcia w nim klauzuli następującej treści: "Jestem świadomy odpowiedzialności karnej za złożenie fałszywego oświadczenia”.</w:t>
      </w:r>
    </w:p>
    <w:p>
      <w:pPr>
        <w:pStyle w:val="Nagwek1"/>
        <w:spacing w:lineRule="auto" w:line="360"/>
        <w:rPr/>
      </w:pPr>
      <w:r>
        <w:rPr/>
        <w:t>XII. WYMOGI FORMALNE SKŁADANIA OFERT</w:t>
      </w:r>
    </w:p>
    <w:p>
      <w:pPr>
        <w:pStyle w:val="Nagwek2"/>
        <w:numPr>
          <w:ilvl w:val="0"/>
          <w:numId w:val="6"/>
        </w:numPr>
        <w:spacing w:lineRule="auto" w:line="360" w:before="0" w:after="120"/>
        <w:jc w:val="left"/>
        <w:rPr>
          <w:b w:val="false"/>
          <w:b w:val="false"/>
          <w:bCs w:val="false"/>
          <w:szCs w:val="20"/>
        </w:rPr>
      </w:pPr>
      <w:r>
        <w:rPr>
          <w:b w:val="false"/>
          <w:bCs w:val="false"/>
          <w:szCs w:val="20"/>
        </w:rPr>
        <w:t>Złożenie w Wydziale Zdrowia i Spraw Społecznych Urzędu Miejskiego Wrocławia jednej oferty w jednym egzemplarzu na obowiązującym wzorze (</w:t>
      </w:r>
      <w:r>
        <w:rPr>
          <w:szCs w:val="20"/>
        </w:rPr>
        <w:t>Załącznik nr 1</w:t>
      </w:r>
      <w:r>
        <w:rPr>
          <w:b w:val="false"/>
          <w:bCs w:val="false"/>
          <w:szCs w:val="20"/>
        </w:rPr>
        <w:t xml:space="preserve"> do niniejszego ogłoszenia konkursowego) wraz z oświadczeniami, podpisanymi przez osoby upoważnione  do składania oświadczeń woli w imieniu oferenta.</w:t>
      </w:r>
    </w:p>
    <w:p>
      <w:pPr>
        <w:pStyle w:val="Nagwek2"/>
        <w:numPr>
          <w:ilvl w:val="0"/>
          <w:numId w:val="6"/>
        </w:numPr>
        <w:spacing w:lineRule="auto" w:line="360" w:before="0" w:after="120"/>
        <w:ind w:left="714" w:hanging="357"/>
        <w:jc w:val="left"/>
        <w:rPr>
          <w:b w:val="false"/>
          <w:b w:val="false"/>
          <w:bCs w:val="false"/>
          <w:szCs w:val="20"/>
        </w:rPr>
      </w:pPr>
      <w:r>
        <w:rPr>
          <w:b w:val="false"/>
          <w:bCs w:val="false"/>
          <w:szCs w:val="20"/>
        </w:rPr>
        <w:t xml:space="preserve">Złożenie oferty w terminie określonym w ogłoszeniu zgodnie z warunkami określonymi </w:t>
        <w:br/>
        <w:t>w części IX ogłoszenia.</w:t>
      </w:r>
    </w:p>
    <w:p>
      <w:pPr>
        <w:pStyle w:val="Nagwek2"/>
        <w:numPr>
          <w:ilvl w:val="0"/>
          <w:numId w:val="6"/>
        </w:numPr>
        <w:spacing w:lineRule="auto" w:line="360" w:before="0" w:after="120"/>
        <w:ind w:left="714" w:hanging="357"/>
        <w:jc w:val="left"/>
        <w:rPr>
          <w:b w:val="false"/>
          <w:b w:val="false"/>
          <w:bCs w:val="false"/>
          <w:szCs w:val="20"/>
        </w:rPr>
      </w:pPr>
      <w:r>
        <w:rPr>
          <w:b w:val="false"/>
          <w:bCs w:val="false"/>
          <w:szCs w:val="20"/>
        </w:rPr>
        <w:t>Wypełnienie właściwych miejsc i rubryk w ofercie.</w:t>
      </w:r>
    </w:p>
    <w:p>
      <w:pPr>
        <w:pStyle w:val="Nagwek2"/>
        <w:numPr>
          <w:ilvl w:val="0"/>
          <w:numId w:val="6"/>
        </w:numPr>
        <w:spacing w:lineRule="auto" w:line="360" w:before="0" w:after="120"/>
        <w:ind w:left="714" w:hanging="357"/>
        <w:jc w:val="left"/>
        <w:rPr>
          <w:b w:val="false"/>
          <w:b w:val="false"/>
          <w:bCs w:val="false"/>
          <w:szCs w:val="20"/>
        </w:rPr>
      </w:pPr>
      <w:r>
        <w:rPr>
          <w:b w:val="false"/>
          <w:bCs w:val="false"/>
          <w:szCs w:val="20"/>
        </w:rPr>
        <w:t xml:space="preserve">Złożenie wymaganych dokumentów i oświadczeń wymienionych w części XII ogłoszenia. </w:t>
      </w:r>
    </w:p>
    <w:p>
      <w:pPr>
        <w:pStyle w:val="Nagwek2"/>
        <w:spacing w:lineRule="auto" w:line="360"/>
        <w:jc w:val="left"/>
        <w:rPr>
          <w:szCs w:val="20"/>
        </w:rPr>
      </w:pPr>
      <w:r>
        <w:rPr>
          <w:szCs w:val="20"/>
        </w:rPr>
        <w:t>UWAGA:  Oferta, która nie będzie spełniała jednego z wyżej wymienionych elementów zostanie odrzucona ze względów formalnych.</w:t>
      </w:r>
    </w:p>
    <w:p>
      <w:pPr>
        <w:pStyle w:val="Nagwek1"/>
        <w:spacing w:lineRule="auto" w:line="36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XIII. OCENA OFERT</w:t>
      </w:r>
    </w:p>
    <w:p>
      <w:pPr>
        <w:pStyle w:val="Normal"/>
        <w:spacing w:lineRule="auto" w:line="360" w:before="0" w:after="0"/>
        <w:rPr>
          <w:rFonts w:ascii="Verdana" w:hAnsi="Verdana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sz w:val="20"/>
          <w:szCs w:val="20"/>
          <w:lang w:eastAsia="pl-PL"/>
        </w:rPr>
        <w:t xml:space="preserve">Złożone oferty podlegają ocenie 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formalnej i</w:t>
      </w:r>
      <w:r>
        <w:rPr>
          <w:rFonts w:eastAsia="Times New Roman" w:cs="Times New Roman" w:ascii="Verdana" w:hAnsi="Verdana"/>
          <w:sz w:val="20"/>
          <w:szCs w:val="20"/>
          <w:lang w:eastAsia="pl-PL"/>
        </w:rPr>
        <w:t xml:space="preserve"> merytorycznej.</w:t>
      </w:r>
    </w:p>
    <w:p>
      <w:pPr>
        <w:pStyle w:val="Normal"/>
        <w:spacing w:lineRule="auto" w:line="360" w:before="0" w:after="0"/>
        <w:rPr>
          <w:rFonts w:ascii="Verdana" w:hAnsi="Verdana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sz w:val="20"/>
          <w:szCs w:val="20"/>
          <w:lang w:eastAsia="pl-PL"/>
        </w:rPr>
        <w:t>Oceny oraz wyboru ofert dokonuje Komisja Konkursowa powołana przez Prezydenta Wrocławia lub osobę przez niego upoważnioną, składająca się z co najmniej 3 osób, reprezentujących Gminę Wrocław.</w:t>
      </w:r>
    </w:p>
    <w:p>
      <w:pPr>
        <w:pStyle w:val="Normal"/>
        <w:spacing w:lineRule="auto" w:line="360" w:before="0" w:after="0"/>
        <w:rPr>
          <w:rFonts w:ascii="Verdana" w:hAnsi="Verdana" w:eastAsia="Times New Roman" w:cs="Times New Roman"/>
          <w:b/>
          <w:b/>
          <w:bCs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b/>
          <w:bCs/>
          <w:sz w:val="20"/>
          <w:szCs w:val="20"/>
          <w:lang w:eastAsia="pl-PL"/>
        </w:rPr>
        <w:t>1. Ocena merytoryczna ofert:</w:t>
        <w:tab/>
      </w:r>
    </w:p>
    <w:p>
      <w:pPr>
        <w:pStyle w:val="Normal"/>
        <w:spacing w:lineRule="auto" w:line="360" w:before="0" w:after="120"/>
        <w:rPr>
          <w:rFonts w:ascii="Verdana" w:hAnsi="Verdana" w:eastAsia="Times New Roman" w:cs="Times New Roman"/>
          <w:bCs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bCs/>
          <w:sz w:val="20"/>
          <w:szCs w:val="20"/>
          <w:lang w:eastAsia="pl-PL"/>
        </w:rPr>
        <w:t xml:space="preserve">Kryteria oceny merytorycznej (suma punktów przypadających na jedną osobę w komisji konkursowej wynosi </w:t>
      </w:r>
      <w:r>
        <w:rPr>
          <w:rFonts w:eastAsia="Times New Roman" w:cs="Times New Roman" w:ascii="Verdana" w:hAnsi="Verdana"/>
          <w:bCs/>
          <w:color w:val="000000"/>
          <w:sz w:val="20"/>
          <w:szCs w:val="20"/>
          <w:lang w:eastAsia="pl-PL"/>
        </w:rPr>
        <w:t>60 pkt.):</w:t>
      </w:r>
    </w:p>
    <w:p>
      <w:pPr>
        <w:pStyle w:val="ListParagraph"/>
        <w:numPr>
          <w:ilvl w:val="3"/>
          <w:numId w:val="16"/>
        </w:numPr>
        <w:spacing w:lineRule="auto" w:line="360" w:before="120" w:after="0"/>
        <w:ind w:left="284" w:hanging="284"/>
        <w:rPr>
          <w:rFonts w:ascii="Verdana" w:hAnsi="Verdana"/>
          <w:sz w:val="20"/>
          <w:szCs w:val="20"/>
        </w:rPr>
      </w:pPr>
      <w:r>
        <w:rPr>
          <w:rFonts w:eastAsia="Calibri" w:cs="Times New Roman" w:ascii="Verdana" w:hAnsi="Verdana"/>
          <w:sz w:val="20"/>
          <w:szCs w:val="20"/>
        </w:rPr>
        <w:t>Spójność celu i warunków ogłoszenia konkursowego z ofertą, w tym z zakresem merytorycznym i rzeczowym zadan</w:t>
      </w:r>
      <w:r>
        <w:rPr>
          <w:rFonts w:ascii="Verdana" w:hAnsi="Verdana"/>
          <w:sz w:val="20"/>
          <w:szCs w:val="20"/>
        </w:rPr>
        <w:t>ia, harmonogramem i kosztorysem 0-15 pkt.</w:t>
      </w:r>
    </w:p>
    <w:p>
      <w:pPr>
        <w:pStyle w:val="ListParagraph"/>
        <w:numPr>
          <w:ilvl w:val="3"/>
          <w:numId w:val="16"/>
        </w:numPr>
        <w:pBdr/>
        <w:spacing w:lineRule="auto" w:line="360" w:before="120" w:after="0"/>
        <w:ind w:left="284" w:hanging="284"/>
        <w:rPr>
          <w:rFonts w:ascii="Verdana" w:hAnsi="Verdana" w:eastAsia="Times New Roman" w:cs="Times New Roman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>Racjonalność kalkulacji kosztów w relacji do zakresu rzeczowego zadania, aktualnych średnich cen i stawek na rynku usług zdrowotnych 0-20 pkt.</w:t>
      </w:r>
    </w:p>
    <w:p>
      <w:pPr>
        <w:pStyle w:val="ListParagraph"/>
        <w:numPr>
          <w:ilvl w:val="3"/>
          <w:numId w:val="16"/>
        </w:numPr>
        <w:pBdr/>
        <w:spacing w:lineRule="auto" w:line="360" w:before="120" w:after="0"/>
        <w:ind w:left="284" w:hanging="284"/>
        <w:rPr>
          <w:rFonts w:ascii="Verdana" w:hAnsi="Verdana" w:eastAsia="Times New Roman" w:cs="Times New Roman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>Liczba uczestników zadania 0-10 pkt.</w:t>
      </w:r>
    </w:p>
    <w:p>
      <w:pPr>
        <w:pStyle w:val="ListParagraph"/>
        <w:numPr>
          <w:ilvl w:val="3"/>
          <w:numId w:val="16"/>
        </w:numPr>
        <w:pBdr/>
        <w:spacing w:lineRule="auto" w:line="360" w:before="120" w:after="0"/>
        <w:ind w:left="284" w:hanging="284"/>
        <w:rPr>
          <w:rFonts w:ascii="Verdana" w:hAnsi="Verdana" w:eastAsia="Times New Roman" w:cs="Times New Roman"/>
          <w:sz w:val="20"/>
          <w:szCs w:val="20"/>
          <w:lang w:eastAsia="pl-PL"/>
        </w:rPr>
      </w:pPr>
      <w:r>
        <w:rPr>
          <w:rFonts w:eastAsia="Calibri" w:cs="Times New Roman" w:ascii="Verdana" w:hAnsi="Verdana"/>
          <w:sz w:val="20"/>
          <w:szCs w:val="20"/>
        </w:rPr>
        <w:t xml:space="preserve">Doświadczenie oferenta w realizacji zadań dotyczących przedmiotu konkursu </w:t>
      </w:r>
      <w:r>
        <w:rPr>
          <w:rFonts w:ascii="Verdana" w:hAnsi="Verdana"/>
          <w:sz w:val="20"/>
          <w:szCs w:val="20"/>
        </w:rPr>
        <w:t>0-5 pkt.</w:t>
      </w:r>
      <w:r>
        <w:rPr>
          <w:rFonts w:eastAsia="Calibri" w:cs="Times New Roman" w:ascii="Verdana" w:hAnsi="Verdana"/>
          <w:sz w:val="20"/>
          <w:szCs w:val="20"/>
        </w:rPr>
        <w:t xml:space="preserve"> </w:t>
      </w:r>
    </w:p>
    <w:p>
      <w:pPr>
        <w:pStyle w:val="ListParagraph"/>
        <w:numPr>
          <w:ilvl w:val="3"/>
          <w:numId w:val="16"/>
        </w:numPr>
        <w:pBdr/>
        <w:spacing w:lineRule="auto" w:line="360" w:before="120" w:after="0"/>
        <w:ind w:left="284" w:hanging="284"/>
        <w:rPr>
          <w:rFonts w:ascii="Verdana" w:hAnsi="Verdana" w:eastAsia="Times New Roman" w:cs="Times New Roman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>Kwalifikacje zawodowe specjalistów realizujących zadanie 0-10 pkt.</w:t>
      </w:r>
    </w:p>
    <w:p>
      <w:pPr>
        <w:pStyle w:val="Normal"/>
        <w:spacing w:lineRule="auto" w:line="360" w:before="0" w:after="0"/>
        <w:rPr>
          <w:rFonts w:ascii="Verdana" w:hAnsi="Verdana" w:eastAsia="Times New Roman" w:cs="Times New Roman"/>
          <w:b/>
          <w:b/>
          <w:bCs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b/>
          <w:bCs/>
          <w:sz w:val="20"/>
          <w:szCs w:val="20"/>
          <w:lang w:eastAsia="pl-PL"/>
        </w:rPr>
        <w:t>Oferty zostaną odrzucone z powodów merytorycznych, jeżeli uzyskają 0 punktów w pozycji I. 1) – możliwość realizacji zadania publicznego przez oferenta i/lub w przypadku uzyskania ogólnej liczby punktów mniejszej niż połowa liczby punktów możliwych do uzyskania od wszystkich członków komisji konkursowej.</w:t>
      </w:r>
    </w:p>
    <w:p>
      <w:pPr>
        <w:pStyle w:val="BodyText3"/>
        <w:spacing w:lineRule="auto" w:line="360"/>
        <w:rPr>
          <w:rFonts w:ascii="Verdana" w:hAnsi="Verdana" w:eastAsia="Times New Roman" w:cs="Times New Roman"/>
          <w:b/>
          <w:b/>
          <w:bCs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b/>
          <w:bCs/>
          <w:sz w:val="20"/>
          <w:szCs w:val="20"/>
          <w:lang w:eastAsia="pl-PL"/>
        </w:rPr>
        <w:t>Dotacja na realizację zadania zostanie przyznana jednemu oferentowi.</w:t>
      </w:r>
    </w:p>
    <w:p>
      <w:pPr>
        <w:pStyle w:val="Nagwek1"/>
        <w:rPr/>
      </w:pPr>
      <w:r>
        <w:rPr/>
        <w:t>XIV. SPOSÓB ODWOŁANIA SIĘ OD ROZSTRZYGNIECIA KONKURSU OFERT</w:t>
      </w:r>
    </w:p>
    <w:p>
      <w:pPr>
        <w:pStyle w:val="Normal"/>
        <w:numPr>
          <w:ilvl w:val="0"/>
          <w:numId w:val="17"/>
        </w:numPr>
        <w:tabs>
          <w:tab w:val="clear" w:pos="708"/>
          <w:tab w:val="left" w:pos="284" w:leader="none"/>
        </w:tabs>
        <w:spacing w:lineRule="auto" w:line="360" w:before="120" w:after="0"/>
        <w:ind w:left="284" w:hanging="28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Oferentom przysługuje prawo do odwołania się od decyzji Komisji Konkursowej do Dyrektora Departamentu Spraw Społecznych Urzędu Miejskiego Wrocławia.</w:t>
      </w:r>
    </w:p>
    <w:p>
      <w:pPr>
        <w:pStyle w:val="Normal"/>
        <w:numPr>
          <w:ilvl w:val="0"/>
          <w:numId w:val="17"/>
        </w:numPr>
        <w:tabs>
          <w:tab w:val="clear" w:pos="708"/>
          <w:tab w:val="left" w:pos="284" w:leader="none"/>
        </w:tabs>
        <w:spacing w:lineRule="auto" w:line="360" w:before="120" w:after="0"/>
        <w:ind w:left="284" w:hanging="28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Oferent składa pisemne odwołanie wraz z uzasadnieniem, w terminie trzech dni od daty ogłoszenia wyników konkursu, w </w:t>
      </w:r>
      <w:r>
        <w:rPr>
          <w:rFonts w:cs="Verdana" w:ascii="Verdana" w:hAnsi="Verdana"/>
          <w:bCs/>
          <w:color w:val="000000"/>
          <w:sz w:val="20"/>
          <w:szCs w:val="20"/>
        </w:rPr>
        <w:t>Kancelarii Urzędu Miejskiego Wrocławia, 50-031 Wrocław, ul. Bogusławskiego 8,10 (parter)</w:t>
      </w:r>
      <w:r>
        <w:rPr>
          <w:rFonts w:cs="Verdana" w:ascii="Verdana" w:hAnsi="Verdana"/>
          <w:color w:val="000000"/>
          <w:sz w:val="20"/>
          <w:szCs w:val="20"/>
        </w:rPr>
        <w:t>.</w:t>
      </w:r>
    </w:p>
    <w:p>
      <w:pPr>
        <w:pStyle w:val="Normal"/>
        <w:numPr>
          <w:ilvl w:val="0"/>
          <w:numId w:val="17"/>
        </w:numPr>
        <w:tabs>
          <w:tab w:val="clear" w:pos="708"/>
          <w:tab w:val="left" w:pos="284" w:leader="none"/>
        </w:tabs>
        <w:spacing w:lineRule="auto" w:line="360" w:before="120" w:after="0"/>
        <w:ind w:left="284" w:hanging="28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Odwołanie, które nie wpłynie do Gminy Wrocław w wyznaczonym terminie nie będzie rozpatrywane.</w:t>
      </w:r>
    </w:p>
    <w:p>
      <w:pPr>
        <w:pStyle w:val="Normal"/>
        <w:numPr>
          <w:ilvl w:val="0"/>
          <w:numId w:val="17"/>
        </w:numPr>
        <w:tabs>
          <w:tab w:val="clear" w:pos="708"/>
          <w:tab w:val="left" w:pos="284" w:leader="none"/>
        </w:tabs>
        <w:spacing w:lineRule="auto" w:line="360" w:before="120" w:after="0"/>
        <w:ind w:left="284" w:hanging="28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Dyrektor Departamentu Spraw Społecznych Urzędu Miejskiego Wrocławia rozpatruje odwołanie niezwłocznie, nie później niż w terminie 14 dni od daty ogłoszenia wyników konkursu.</w:t>
      </w:r>
    </w:p>
    <w:p>
      <w:pPr>
        <w:pStyle w:val="Normal"/>
        <w:numPr>
          <w:ilvl w:val="0"/>
          <w:numId w:val="17"/>
        </w:numPr>
        <w:tabs>
          <w:tab w:val="clear" w:pos="708"/>
          <w:tab w:val="left" w:pos="284" w:leader="none"/>
        </w:tabs>
        <w:spacing w:lineRule="auto" w:line="360" w:before="120" w:after="0"/>
        <w:ind w:left="284" w:hanging="28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 stanowiska Dyrektora Departamentu Spraw Społecznych Urzędu Miejskiego Wrocławia </w:t>
      </w:r>
      <w:r>
        <w:rPr>
          <w:rFonts w:ascii="Verdana" w:hAnsi="Verdana"/>
          <w:iCs/>
          <w:sz w:val="20"/>
          <w:szCs w:val="20"/>
        </w:rPr>
        <w:t>odwołanie nie przysługuje.</w:t>
      </w:r>
    </w:p>
    <w:p>
      <w:pPr>
        <w:pStyle w:val="Nagwek1"/>
        <w:spacing w:lineRule="auto" w:line="360"/>
        <w:rPr/>
      </w:pPr>
      <w:r>
        <w:rPr/>
        <w:t>XV. MIEJSCE I SPOSÓB ZŁOŻENIA DOKUMENTÓW</w:t>
      </w:r>
    </w:p>
    <w:p>
      <w:pPr>
        <w:pStyle w:val="BodyText2"/>
        <w:numPr>
          <w:ilvl w:val="0"/>
          <w:numId w:val="11"/>
        </w:numPr>
        <w:tabs>
          <w:tab w:val="clear" w:pos="708"/>
          <w:tab w:val="left" w:pos="720" w:leader="none"/>
        </w:tabs>
        <w:spacing w:lineRule="auto" w:line="360" w:before="0" w:after="0"/>
        <w:ind w:left="720" w:hanging="360"/>
        <w:rPr>
          <w:rFonts w:ascii="Verdana" w:hAnsi="Verdana"/>
          <w:color w:val="000000"/>
          <w:sz w:val="20"/>
          <w:szCs w:val="20"/>
        </w:rPr>
      </w:pPr>
      <w:r>
        <w:rPr>
          <w:rFonts w:eastAsia="Calibri" w:cs="Times New Roman" w:ascii="Verdana" w:hAnsi="Verdana"/>
          <w:sz w:val="20"/>
          <w:szCs w:val="20"/>
        </w:rPr>
        <w:t>Oferty wraz z dokumentami należy składać w</w:t>
      </w:r>
      <w:r>
        <w:rPr>
          <w:rFonts w:eastAsia="Calibri" w:cs="Times New Roman" w:ascii="Verdana" w:hAnsi="Verdana"/>
          <w:bCs/>
          <w:sz w:val="20"/>
          <w:szCs w:val="20"/>
        </w:rPr>
        <w:t xml:space="preserve"> </w:t>
      </w:r>
      <w:r>
        <w:rPr>
          <w:rFonts w:eastAsia="Calibri" w:cs="Times New Roman" w:ascii="Verdana" w:hAnsi="Verdana"/>
          <w:sz w:val="20"/>
          <w:szCs w:val="20"/>
        </w:rPr>
        <w:t xml:space="preserve"> </w:t>
      </w:r>
      <w:r>
        <w:rPr>
          <w:rFonts w:eastAsia="Calibri" w:cs="Times New Roman" w:ascii="Verdana" w:hAnsi="Verdana"/>
          <w:b/>
          <w:sz w:val="20"/>
          <w:szCs w:val="20"/>
        </w:rPr>
        <w:t>Kancelarii Urzędu Miejskiego Wrocławia ul. Bogusławskiego 8-10</w:t>
      </w:r>
      <w:r>
        <w:rPr>
          <w:rFonts w:eastAsia="Calibri" w:cs="Times New Roman" w:ascii="Verdana" w:hAnsi="Verdana"/>
          <w:sz w:val="20"/>
          <w:szCs w:val="20"/>
        </w:rPr>
        <w:t xml:space="preserve">, oferent otrzyma potwierdzenie złożenia oferty z datą wpływu na własnym drugim egzemplarzu – kopii oferty. </w:t>
      </w:r>
    </w:p>
    <w:p>
      <w:pPr>
        <w:pStyle w:val="BodyText2"/>
        <w:numPr>
          <w:ilvl w:val="0"/>
          <w:numId w:val="11"/>
        </w:numPr>
        <w:tabs>
          <w:tab w:val="clear" w:pos="708"/>
          <w:tab w:val="left" w:pos="720" w:leader="none"/>
        </w:tabs>
        <w:spacing w:lineRule="auto" w:line="360" w:before="0" w:after="0"/>
        <w:ind w:left="720" w:hanging="360"/>
        <w:rPr>
          <w:rFonts w:ascii="Verdana" w:hAnsi="Verdana" w:eastAsia="Calibri" w:cs="Times New Roman"/>
          <w:color w:val="000000"/>
          <w:sz w:val="20"/>
          <w:szCs w:val="20"/>
        </w:rPr>
      </w:pPr>
      <w:r>
        <w:rPr>
          <w:rFonts w:eastAsia="Calibri" w:cs="Times New Roman" w:ascii="Verdana" w:hAnsi="Verdana"/>
          <w:sz w:val="20"/>
          <w:szCs w:val="20"/>
        </w:rPr>
        <w:t>Oferty wraz z dokumentami należy składać w kopercie lub teczce, oznaczonej w następujący  sposób:</w:t>
      </w:r>
      <w:r>
        <w:rPr>
          <w:rFonts w:eastAsia="Calibri" w:cs="Times New Roman" w:ascii="Verdana" w:hAnsi="Verdana"/>
          <w:b/>
          <w:sz w:val="20"/>
          <w:szCs w:val="20"/>
        </w:rPr>
        <w:t xml:space="preserve"> Konkurs:</w:t>
      </w:r>
      <w:r>
        <w:rPr>
          <w:rFonts w:eastAsia="Calibri" w:cs="Times New Roman" w:ascii="Verdana" w:hAnsi="Verdana"/>
          <w:sz w:val="20"/>
          <w:szCs w:val="20"/>
        </w:rPr>
        <w:t xml:space="preserve"> </w:t>
      </w:r>
      <w:r>
        <w:rPr>
          <w:rFonts w:eastAsia="Calibri" w:cs="Arial"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UDZIELANIE WSPARCIA PSYCHOLOGICZNEGO OSOBOM DOŚWIADCZAJĄCYM PRZEMOCY DOMOWEJ PRZEBYWAJĄCYM W ŚRODOWISKU ZDARZENIA”</w:t>
      </w:r>
      <w:r>
        <w:rPr>
          <w:rFonts w:eastAsia="Calibri" w:cs="Times New Roman" w:ascii="Verdana" w:hAnsi="Verdana"/>
          <w:color w:val="000000"/>
        </w:rPr>
        <w:t xml:space="preserve"> </w:t>
      </w:r>
      <w:r>
        <w:rPr>
          <w:rFonts w:eastAsia="Calibri" w:cs="Times New Roman" w:ascii="Verdana" w:hAnsi="Verdana"/>
          <w:sz w:val="20"/>
          <w:szCs w:val="20"/>
        </w:rPr>
        <w:t>oraz należy podać nazwę i adres oferenta.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720" w:leader="none"/>
        </w:tabs>
        <w:spacing w:lineRule="auto" w:line="360" w:before="0" w:after="120"/>
        <w:ind w:left="720" w:hanging="360"/>
        <w:rPr>
          <w:rFonts w:ascii="Verdana" w:hAnsi="Verdana" w:eastAsia="Calibri" w:cs="Times New Roman"/>
          <w:sz w:val="20"/>
          <w:szCs w:val="20"/>
        </w:rPr>
      </w:pPr>
      <w:r>
        <w:rPr>
          <w:rFonts w:eastAsia="Calibri" w:cs="Times New Roman" w:ascii="Verdana" w:hAnsi="Verdana"/>
          <w:sz w:val="20"/>
          <w:szCs w:val="20"/>
        </w:rPr>
        <w:t>W przypadku przesłania oferty z dokumentami pocztą decyduje data jej wpływu do Wydziału Zdrowia i Spraw Społecznych Urzędu Miejskiego Wrocławia, a nie data stempla pocztowego.</w:t>
      </w:r>
    </w:p>
    <w:p>
      <w:pPr>
        <w:pStyle w:val="Normal"/>
        <w:spacing w:lineRule="auto" w:line="360"/>
        <w:rPr>
          <w:rFonts w:ascii="Verdana" w:hAnsi="Verdana"/>
          <w:sz w:val="20"/>
          <w:szCs w:val="20"/>
          <w:lang w:eastAsia="pl-PL"/>
        </w:rPr>
      </w:pPr>
      <w:r>
        <w:rPr>
          <w:rFonts w:eastAsia="Calibri" w:cs="Times New Roman" w:ascii="Verdana" w:hAnsi="Verdana"/>
          <w:sz w:val="20"/>
          <w:szCs w:val="20"/>
        </w:rPr>
        <w:t>Osoba wskazana do kontaktu z oferentami: Jolanta Jakimiuk, e-mail: jolanta.jakimiuk@um.wroc.pl, tel. 71 777 79 60.</w:t>
      </w:r>
    </w:p>
    <w:p>
      <w:pPr>
        <w:pStyle w:val="Nagwek1"/>
        <w:spacing w:lineRule="auto" w:line="360"/>
        <w:rPr/>
      </w:pPr>
      <w:r>
        <w:rPr/>
        <w:t>XVI. TERMINY</w:t>
      </w:r>
    </w:p>
    <w:p>
      <w:pPr>
        <w:pStyle w:val="BodyText3"/>
        <w:spacing w:lineRule="auto" w:line="360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TERMIN SKŁADANIA OFERT</w:t>
      </w:r>
    </w:p>
    <w:p>
      <w:pPr>
        <w:pStyle w:val="BodyText3"/>
        <w:spacing w:lineRule="auto" w:line="360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Do dnia 24 września 2021 roku do godz. 15:00. </w:t>
      </w:r>
    </w:p>
    <w:p>
      <w:pPr>
        <w:pStyle w:val="BodyText3"/>
        <w:spacing w:lineRule="auto" w:line="360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Oferty złożone po wyznaczonym terminie nie będą rozpatrywane.</w:t>
      </w:r>
    </w:p>
    <w:p>
      <w:pPr>
        <w:pStyle w:val="Nagwek2"/>
        <w:spacing w:lineRule="auto" w:line="360"/>
        <w:jc w:val="left"/>
        <w:rPr>
          <w:b w:val="false"/>
          <w:b w:val="false"/>
          <w:bCs w:val="false"/>
          <w:color w:val="FF0000"/>
          <w:szCs w:val="20"/>
        </w:rPr>
      </w:pPr>
      <w:r>
        <w:rPr>
          <w:szCs w:val="20"/>
        </w:rPr>
        <w:t xml:space="preserve">TERMIN ROZSTRZYGNIĘCIA KONKURSU </w:t>
      </w:r>
    </w:p>
    <w:p>
      <w:pPr>
        <w:pStyle w:val="Normal"/>
        <w:spacing w:lineRule="auto" w:line="360" w:before="120" w:after="200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Rozstrzygnięcie konkursu do dnia </w:t>
      </w:r>
      <w:r>
        <w:rPr>
          <w:rFonts w:ascii="Verdana" w:hAnsi="Verdana"/>
          <w:b/>
          <w:sz w:val="20"/>
          <w:szCs w:val="20"/>
        </w:rPr>
        <w:t>30 września</w:t>
      </w:r>
      <w:r>
        <w:rPr>
          <w:rFonts w:ascii="Verdana" w:hAnsi="Verdana"/>
          <w:b/>
          <w:bCs/>
          <w:sz w:val="20"/>
          <w:szCs w:val="20"/>
        </w:rPr>
        <w:t xml:space="preserve"> 2021 roku </w:t>
      </w:r>
      <w:r>
        <w:rPr>
          <w:rFonts w:ascii="Verdana" w:hAnsi="Verdana"/>
          <w:bCs/>
          <w:sz w:val="20"/>
          <w:szCs w:val="20"/>
        </w:rPr>
        <w:t>do godziny</w:t>
      </w:r>
      <w:r>
        <w:rPr>
          <w:rFonts w:ascii="Verdana" w:hAnsi="Verdana"/>
          <w:b/>
          <w:bCs/>
          <w:sz w:val="20"/>
          <w:szCs w:val="20"/>
        </w:rPr>
        <w:t xml:space="preserve"> 15:00.</w:t>
      </w:r>
    </w:p>
    <w:p>
      <w:pPr>
        <w:pStyle w:val="Normal"/>
        <w:spacing w:lineRule="auto" w:line="360" w:before="120" w:after="20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Informacja z rozstrzygnięcia konkursu do dnia </w:t>
      </w:r>
      <w:r>
        <w:rPr>
          <w:rFonts w:ascii="Verdana" w:hAnsi="Verdana"/>
          <w:b/>
          <w:sz w:val="20"/>
          <w:szCs w:val="20"/>
        </w:rPr>
        <w:t>30 września</w:t>
      </w:r>
      <w:r>
        <w:rPr>
          <w:rFonts w:ascii="Verdana" w:hAnsi="Verdana"/>
          <w:b/>
          <w:bCs/>
          <w:sz w:val="20"/>
          <w:szCs w:val="20"/>
        </w:rPr>
        <w:t xml:space="preserve"> 2021 roku </w:t>
      </w:r>
      <w:r>
        <w:rPr>
          <w:rFonts w:ascii="Verdana" w:hAnsi="Verdana"/>
          <w:sz w:val="20"/>
          <w:szCs w:val="20"/>
        </w:rPr>
        <w:t>zostanie umieszczona:</w:t>
      </w:r>
    </w:p>
    <w:p>
      <w:pPr>
        <w:pStyle w:val="Normal"/>
        <w:numPr>
          <w:ilvl w:val="0"/>
          <w:numId w:val="12"/>
        </w:numPr>
        <w:spacing w:lineRule="auto" w:line="360" w:before="12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Biuletynie Informacji Publicznej </w:t>
      </w:r>
      <w:hyperlink r:id="rId2">
        <w:r>
          <w:rPr>
            <w:rStyle w:val="Czeinternetowe"/>
            <w:rFonts w:ascii="Verdana" w:hAnsi="Verdana"/>
            <w:sz w:val="20"/>
            <w:szCs w:val="20"/>
          </w:rPr>
          <w:t>http://bip.um.wroc.pl</w:t>
        </w:r>
      </w:hyperlink>
    </w:p>
    <w:p>
      <w:pPr>
        <w:pStyle w:val="Normal"/>
        <w:numPr>
          <w:ilvl w:val="0"/>
          <w:numId w:val="12"/>
        </w:numPr>
        <w:spacing w:lineRule="auto" w:line="360" w:before="12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 tablicy ogłoszeń Wydziału Zdrowia i Spraw Społecznych Urzędu Miejskiego Wrocławia, 50-032 Wrocław, ul. G. Zapolskiej 4, III piętro.</w:t>
      </w:r>
    </w:p>
    <w:p>
      <w:pPr>
        <w:pStyle w:val="Normal"/>
        <w:spacing w:lineRule="auto" w:line="360" w:before="120" w:after="20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Oferty wraz z dokumentami nie będą zwracane oferentowi.</w:t>
      </w:r>
    </w:p>
    <w:p>
      <w:pPr>
        <w:pStyle w:val="Normal"/>
        <w:rPr>
          <w:rFonts w:ascii="Verdana" w:hAnsi="Verdana"/>
          <w:b/>
          <w:b/>
          <w:bCs/>
          <w:sz w:val="18"/>
        </w:rPr>
      </w:pPr>
      <w:r>
        <w:rPr>
          <w:rFonts w:ascii="Verdana" w:hAnsi="Verdana"/>
          <w:b/>
          <w:bCs/>
          <w:sz w:val="18"/>
        </w:rPr>
      </w:r>
    </w:p>
    <w:p>
      <w:pPr>
        <w:pStyle w:val="Normal"/>
        <w:rPr>
          <w:rFonts w:ascii="Verdana" w:hAnsi="Verdana"/>
          <w:b/>
          <w:b/>
          <w:bCs/>
          <w:sz w:val="18"/>
        </w:rPr>
      </w:pPr>
      <w:r>
        <w:rPr>
          <w:rFonts w:ascii="Verdana" w:hAnsi="Verdana"/>
          <w:b/>
          <w:bCs/>
          <w:sz w:val="18"/>
        </w:rPr>
      </w:r>
    </w:p>
    <w:p>
      <w:pPr>
        <w:pStyle w:val="Normal"/>
        <w:rPr>
          <w:rFonts w:ascii="Verdana" w:hAnsi="Verdana"/>
          <w:b/>
          <w:b/>
          <w:bCs/>
          <w:sz w:val="18"/>
        </w:rPr>
      </w:pPr>
      <w:r>
        <w:rPr>
          <w:rFonts w:ascii="Verdana" w:hAnsi="Verdana"/>
          <w:b/>
          <w:bCs/>
          <w:sz w:val="18"/>
        </w:rPr>
      </w:r>
    </w:p>
    <w:p>
      <w:pPr>
        <w:pStyle w:val="Normal"/>
        <w:rPr>
          <w:rFonts w:ascii="Verdana" w:hAnsi="Verdana"/>
          <w:b/>
          <w:b/>
          <w:bCs/>
          <w:sz w:val="18"/>
        </w:rPr>
      </w:pPr>
      <w:r>
        <w:rPr>
          <w:rFonts w:ascii="Verdana" w:hAnsi="Verdana"/>
          <w:b/>
          <w:bCs/>
          <w:sz w:val="18"/>
        </w:rPr>
        <w:t xml:space="preserve">--------------------------------------------------------------------------------------------------------- </w:t>
      </w:r>
    </w:p>
    <w:p>
      <w:pPr>
        <w:pStyle w:val="Normal"/>
        <w:spacing w:before="0" w:after="200"/>
        <w:rPr>
          <w:b/>
          <w:b/>
          <w:bCs/>
        </w:rPr>
      </w:pPr>
      <w:r>
        <w:rPr>
          <w:rFonts w:ascii="Verdana" w:hAnsi="Verdana"/>
          <w:b/>
          <w:bCs/>
          <w:i/>
          <w:iCs/>
          <w:sz w:val="18"/>
        </w:rPr>
        <w:t xml:space="preserve">podpis i pieczęć imienna dyrektora Wydziału Zdrowia i Spraw Społecznych </w:t>
        <w:br/>
        <w:t>wraz z  pieczęcią nagłówkową</w:t>
      </w:r>
    </w:p>
    <w:sectPr>
      <w:type w:val="nextPage"/>
      <w:pgSz w:w="11906" w:h="16838"/>
      <w:pgMar w:left="1417" w:right="1417" w:header="0" w:top="1276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Unicode MS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rFonts w:cs="Times New Roman"/>
      </w:rPr>
    </w:lvl>
    <w:lvl w:ilvl="2">
      <w:start w:val="1"/>
      <w:numFmt w:val="upperRoman"/>
      <w:lvlText w:val="%3."/>
      <w:lvlJc w:val="left"/>
      <w:pPr>
        <w:tabs>
          <w:tab w:val="num" w:pos="2340"/>
        </w:tabs>
        <w:ind w:left="2340" w:hanging="720"/>
      </w:p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rFonts w:cs="Times New Roman"/>
      </w:rPr>
    </w:lvl>
    <w:lvl w:ilvl="1">
      <w:start w:val="1"/>
      <w:numFmt w:val="lowerRoman"/>
      <w:lvlText w:val="%2."/>
      <w:lvlJc w:val="right"/>
      <w:pPr>
        <w:tabs>
          <w:tab w:val="num" w:pos="1620"/>
        </w:tabs>
        <w:ind w:left="1620" w:hanging="180"/>
      </w:pPr>
    </w:lvl>
    <w:lvl w:ilvl="2">
      <w:start w:val="1"/>
      <w:numFmt w:val="decimal"/>
      <w:lvlText w:val="%3."/>
      <w:lvlJc w:val="left"/>
      <w:pPr>
        <w:tabs>
          <w:tab w:val="num" w:pos="989"/>
        </w:tabs>
        <w:ind w:left="989" w:hanging="705"/>
      </w:pPr>
      <w:rPr>
        <w:b w:val="false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"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lvl w:ilvl="0">
      <w:start w:val="1"/>
      <w:numFmt w:val="bullet"/>
      <w:lvlText w:val=""/>
      <w:lvlJc w:val="left"/>
      <w:pPr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-"/>
      <w:lvlJc w:val="left"/>
      <w:pPr>
        <w:ind w:left="1436" w:hanging="360"/>
      </w:pPr>
      <w:rPr>
        <w:rFonts w:ascii="Times New Roman" w:hAnsi="Times New Roman" w:cs="Times New Roman" w:hint="default"/>
        <w:rFonts w:cs="Times New Roman"/>
      </w:rPr>
    </w:lvl>
    <w:lvl w:ilvl="1">
      <w:start w:val="1"/>
      <w:numFmt w:val="bullet"/>
      <w:lvlText w:val="o"/>
      <w:lvlJc w:val="left"/>
      <w:pPr>
        <w:ind w:left="215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96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decimal"/>
      <w:lvlText w:val="%1)"/>
      <w:lvlJc w:val="left"/>
      <w:pPr>
        <w:tabs>
          <w:tab w:val="num" w:pos="2399"/>
        </w:tabs>
        <w:ind w:left="3479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lvl w:ilvl="0">
      <w:start w:val="1"/>
      <w:numFmt w:val="decimal"/>
      <w:lvlText w:val="%1."/>
      <w:lvlJc w:val="left"/>
      <w:pPr>
        <w:ind w:left="830" w:hanging="360"/>
      </w:pPr>
    </w:lvl>
    <w:lvl w:ilvl="1">
      <w:start w:val="1"/>
      <w:numFmt w:val="lowerLetter"/>
      <w:lvlText w:val="%2."/>
      <w:lvlJc w:val="left"/>
      <w:pPr>
        <w:ind w:left="1550" w:hanging="360"/>
      </w:pPr>
    </w:lvl>
    <w:lvl w:ilvl="2">
      <w:start w:val="1"/>
      <w:numFmt w:val="lowerRoman"/>
      <w:lvlText w:val="%3."/>
      <w:lvlJc w:val="right"/>
      <w:pPr>
        <w:ind w:left="2270" w:hanging="180"/>
      </w:pPr>
    </w:lvl>
    <w:lvl w:ilvl="3">
      <w:start w:val="1"/>
      <w:numFmt w:val="decimal"/>
      <w:lvlText w:val="%4."/>
      <w:lvlJc w:val="left"/>
      <w:pPr>
        <w:ind w:left="2990" w:hanging="360"/>
      </w:pPr>
    </w:lvl>
    <w:lvl w:ilvl="4">
      <w:start w:val="1"/>
      <w:numFmt w:val="lowerLetter"/>
      <w:lvlText w:val="%5."/>
      <w:lvlJc w:val="left"/>
      <w:pPr>
        <w:ind w:left="3710" w:hanging="360"/>
      </w:pPr>
    </w:lvl>
    <w:lvl w:ilvl="5">
      <w:start w:val="1"/>
      <w:numFmt w:val="lowerRoman"/>
      <w:lvlText w:val="%6."/>
      <w:lvlJc w:val="right"/>
      <w:pPr>
        <w:ind w:left="4430" w:hanging="180"/>
      </w:pPr>
    </w:lvl>
    <w:lvl w:ilvl="6">
      <w:start w:val="1"/>
      <w:numFmt w:val="decimal"/>
      <w:lvlText w:val="%7."/>
      <w:lvlJc w:val="left"/>
      <w:pPr>
        <w:ind w:left="5150" w:hanging="360"/>
      </w:pPr>
    </w:lvl>
    <w:lvl w:ilvl="7">
      <w:start w:val="1"/>
      <w:numFmt w:val="lowerLetter"/>
      <w:lvlText w:val="%8."/>
      <w:lvlJc w:val="left"/>
      <w:pPr>
        <w:ind w:left="5870" w:hanging="360"/>
      </w:pPr>
    </w:lvl>
    <w:lvl w:ilvl="8">
      <w:start w:val="1"/>
      <w:numFmt w:val="lowerRoman"/>
      <w:lvlText w:val="%9."/>
      <w:lvlJc w:val="right"/>
      <w:pPr>
        <w:ind w:left="6590" w:hanging="180"/>
      </w:pPr>
    </w:lvl>
  </w:abstractNum>
  <w:abstractNum w:abstractNumId="20"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1">
    <w:lvl w:ilvl="0">
      <w:start w:val="2"/>
      <w:numFmt w:val="bullet"/>
      <w:lvlText w:val="-"/>
      <w:lvlJc w:val="left"/>
      <w:pPr>
        <w:tabs>
          <w:tab w:val="num" w:pos="1095"/>
        </w:tabs>
        <w:ind w:left="1095" w:hanging="360"/>
      </w:pPr>
      <w:rPr>
        <w:rFonts w:ascii="Times New Roman" w:hAnsi="Times New Roman" w:cs="Times New Roman" w:hint="default"/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815"/>
        </w:tabs>
        <w:ind w:left="181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35"/>
        </w:tabs>
        <w:ind w:left="253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55"/>
        </w:tabs>
        <w:ind w:left="325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75"/>
        </w:tabs>
        <w:ind w:left="397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95"/>
        </w:tabs>
        <w:ind w:left="469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15"/>
        </w:tabs>
        <w:ind w:left="541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35"/>
        </w:tabs>
        <w:ind w:left="61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55"/>
        </w:tabs>
        <w:ind w:left="6855" w:hanging="360"/>
      </w:pPr>
      <w:rPr>
        <w:rFonts w:ascii="Wingdings" w:hAnsi="Wingdings" w:cs="Wingdings" w:hint="default"/>
      </w:rPr>
    </w:lvl>
  </w:abstractNum>
  <w:abstractNum w:abstractNumId="22">
    <w:lvl w:ilvl="0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u w:val="single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e02a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9243b2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"/>
    <w:next w:val="Normal"/>
    <w:link w:val="Nagwek2Znak"/>
    <w:qFormat/>
    <w:rsid w:val="005e6410"/>
    <w:pPr>
      <w:keepNext w:val="true"/>
      <w:spacing w:lineRule="auto" w:line="240" w:before="0" w:after="0"/>
      <w:jc w:val="center"/>
      <w:outlineLvl w:val="1"/>
    </w:pPr>
    <w:rPr>
      <w:rFonts w:ascii="Verdana" w:hAnsi="Verdana" w:eastAsia="Times New Roman" w:cs="Times New Roman"/>
      <w:b/>
      <w:bCs/>
      <w:sz w:val="20"/>
      <w:szCs w:val="24"/>
      <w:lang w:eastAsia="pl-PL"/>
    </w:rPr>
  </w:style>
  <w:style w:type="paragraph" w:styleId="Nagwek6">
    <w:name w:val="Heading 6"/>
    <w:basedOn w:val="Normal"/>
    <w:next w:val="Normal"/>
    <w:link w:val="Nagwek6Znak"/>
    <w:uiPriority w:val="9"/>
    <w:unhideWhenUsed/>
    <w:qFormat/>
    <w:rsid w:val="004763f7"/>
    <w:pPr>
      <w:keepNext w:val="true"/>
      <w:keepLines/>
      <w:spacing w:before="200" w:after="0"/>
      <w:outlineLvl w:val="5"/>
    </w:pPr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semiHidden/>
    <w:qFormat/>
    <w:rsid w:val="005e6410"/>
    <w:rPr>
      <w:rFonts w:ascii="Times New Roman" w:hAnsi="Times New Roman" w:eastAsia="Times New Roman" w:cs="Times New Roman"/>
      <w:sz w:val="28"/>
      <w:szCs w:val="24"/>
      <w:lang w:eastAsia="pl-PL"/>
    </w:rPr>
  </w:style>
  <w:style w:type="character" w:styleId="Nagwek2Znak" w:customStyle="1">
    <w:name w:val="Nagłówek 2 Znak"/>
    <w:basedOn w:val="DefaultParagraphFont"/>
    <w:link w:val="Nagwek2"/>
    <w:qFormat/>
    <w:rsid w:val="005e6410"/>
    <w:rPr>
      <w:rFonts w:ascii="Verdana" w:hAnsi="Verdana" w:eastAsia="Times New Roman" w:cs="Times New Roman"/>
      <w:b/>
      <w:bCs/>
      <w:sz w:val="20"/>
      <w:szCs w:val="24"/>
      <w:lang w:eastAsia="pl-PL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b10d06"/>
    <w:rPr>
      <w:sz w:val="16"/>
      <w:szCs w:val="16"/>
    </w:rPr>
  </w:style>
  <w:style w:type="character" w:styleId="Tekstpodstawowywcity2Znak" w:customStyle="1">
    <w:name w:val="Tekst podstawowy wcięty 2 Znak"/>
    <w:basedOn w:val="DefaultParagraphFont"/>
    <w:link w:val="Tekstpodstawowywcity2"/>
    <w:uiPriority w:val="99"/>
    <w:qFormat/>
    <w:rsid w:val="00ad4a9e"/>
    <w:rPr/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qFormat/>
    <w:rsid w:val="00ad4a9e"/>
    <w:rPr/>
  </w:style>
  <w:style w:type="character" w:styleId="Luchili" w:customStyle="1">
    <w:name w:val="luc_hili"/>
    <w:basedOn w:val="DefaultParagraphFont"/>
    <w:qFormat/>
    <w:rsid w:val="00ad4a9e"/>
    <w:rPr/>
  </w:style>
  <w:style w:type="character" w:styleId="Nagwek6Znak" w:customStyle="1">
    <w:name w:val="Nagłówek 6 Znak"/>
    <w:basedOn w:val="DefaultParagraphFont"/>
    <w:link w:val="Nagwek6"/>
    <w:uiPriority w:val="9"/>
    <w:qFormat/>
    <w:rsid w:val="004763f7"/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Czeinternetowe">
    <w:name w:val="Łącze internetowe"/>
    <w:semiHidden/>
    <w:rsid w:val="004763f7"/>
    <w:rPr>
      <w:color w:val="0000FF"/>
      <w:u w:val="single"/>
    </w:rPr>
  </w:style>
  <w:style w:type="character" w:styleId="Tekstpodstawowy2Znak" w:customStyle="1">
    <w:name w:val="Tekst podstawowy 2 Znak"/>
    <w:basedOn w:val="DefaultParagraphFont"/>
    <w:link w:val="Tekstpodstawowy2"/>
    <w:uiPriority w:val="99"/>
    <w:qFormat/>
    <w:rsid w:val="00d8576e"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9243b2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TytuZnak" w:customStyle="1">
    <w:name w:val="Tytuł Znak"/>
    <w:basedOn w:val="DefaultParagraphFont"/>
    <w:link w:val="Tytu"/>
    <w:uiPriority w:val="10"/>
    <w:qFormat/>
    <w:rsid w:val="00dd50ec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Wyrnienie">
    <w:name w:val="Wyróżnienie"/>
    <w:basedOn w:val="DefaultParagraphFont"/>
    <w:qFormat/>
    <w:rsid w:val="00036d84"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rsid w:val="005e6410"/>
    <w:pPr>
      <w:spacing w:lineRule="auto" w:line="240" w:before="0" w:after="0"/>
    </w:pPr>
    <w:rPr>
      <w:rFonts w:ascii="Times New Roman" w:hAnsi="Times New Roman" w:eastAsia="Times New Roman" w:cs="Times New Roman"/>
      <w:sz w:val="28"/>
      <w:szCs w:val="24"/>
      <w:lang w:eastAsia="pl-P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semiHidden/>
    <w:qFormat/>
    <w:rsid w:val="00e73222"/>
    <w:pPr>
      <w:spacing w:lineRule="auto" w:line="240" w:beforeAutospacing="1" w:afterAutospacing="1"/>
    </w:pPr>
    <w:rPr>
      <w:rFonts w:ascii="Arial Unicode MS" w:hAnsi="Arial Unicode MS" w:eastAsia="Arial Unicode MS" w:cs="Arial Unicode MS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e73222"/>
    <w:pPr>
      <w:spacing w:before="0" w:after="200"/>
      <w:ind w:left="720" w:hanging="0"/>
      <w:contextualSpacing/>
    </w:pPr>
    <w:rPr/>
  </w:style>
  <w:style w:type="paragraph" w:styleId="BodyText3">
    <w:name w:val="Body Text 3"/>
    <w:basedOn w:val="Normal"/>
    <w:link w:val="Tekstpodstawowy3Znak"/>
    <w:uiPriority w:val="99"/>
    <w:unhideWhenUsed/>
    <w:qFormat/>
    <w:rsid w:val="00b10d06"/>
    <w:pPr>
      <w:spacing w:before="0" w:after="120"/>
    </w:pPr>
    <w:rPr>
      <w:sz w:val="16"/>
      <w:szCs w:val="16"/>
    </w:rPr>
  </w:style>
  <w:style w:type="paragraph" w:styleId="BodyTextIndent2">
    <w:name w:val="Body Text Indent 2"/>
    <w:basedOn w:val="Normal"/>
    <w:link w:val="Tekstpodstawowywcity2Znak"/>
    <w:uiPriority w:val="99"/>
    <w:unhideWhenUsed/>
    <w:qFormat/>
    <w:rsid w:val="00ad4a9e"/>
    <w:pPr>
      <w:spacing w:lineRule="auto" w:line="480" w:before="0" w:after="120"/>
      <w:ind w:left="283" w:hanging="0"/>
    </w:pPr>
    <w:rPr/>
  </w:style>
  <w:style w:type="paragraph" w:styleId="Wcicietrecitekstu">
    <w:name w:val="Body Text Indent"/>
    <w:basedOn w:val="Normal"/>
    <w:link w:val="TekstpodstawowywcityZnak"/>
    <w:uiPriority w:val="99"/>
    <w:unhideWhenUsed/>
    <w:rsid w:val="00ad4a9e"/>
    <w:pPr>
      <w:spacing w:before="0" w:after="120"/>
      <w:ind w:left="283" w:hanging="0"/>
    </w:pPr>
    <w:rPr/>
  </w:style>
  <w:style w:type="paragraph" w:styleId="BodyText2">
    <w:name w:val="Body Text 2"/>
    <w:basedOn w:val="Normal"/>
    <w:link w:val="Tekstpodstawowy2Znak"/>
    <w:uiPriority w:val="99"/>
    <w:unhideWhenUsed/>
    <w:qFormat/>
    <w:rsid w:val="00d8576e"/>
    <w:pPr>
      <w:spacing w:lineRule="auto" w:line="480" w:before="0" w:after="120"/>
    </w:pPr>
    <w:rPr/>
  </w:style>
  <w:style w:type="paragraph" w:styleId="Default" w:customStyle="1">
    <w:name w:val="Default"/>
    <w:qFormat/>
    <w:rsid w:val="00d8576e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/>
      <w:color w:val="000000"/>
      <w:kern w:val="0"/>
      <w:sz w:val="24"/>
      <w:szCs w:val="24"/>
      <w:lang w:eastAsia="pl-PL" w:val="pl-PL" w:bidi="ar-SA"/>
    </w:rPr>
  </w:style>
  <w:style w:type="paragraph" w:styleId="ListBullet2">
    <w:name w:val="List Bullet 2"/>
    <w:basedOn w:val="Normal"/>
    <w:autoRedefine/>
    <w:semiHidden/>
    <w:qFormat/>
    <w:rsid w:val="00d8576e"/>
    <w:pPr>
      <w:spacing w:lineRule="auto" w:line="240" w:before="0" w:after="0"/>
    </w:pPr>
    <w:rPr>
      <w:rFonts w:ascii="Verdana" w:hAnsi="Verdana" w:eastAsia="Times New Roman" w:cs="Times New Roman"/>
      <w:sz w:val="20"/>
      <w:szCs w:val="24"/>
      <w:lang w:eastAsia="pl-PL"/>
    </w:rPr>
  </w:style>
  <w:style w:type="paragraph" w:styleId="BlockText">
    <w:name w:val="Block Text"/>
    <w:basedOn w:val="Normal"/>
    <w:semiHidden/>
    <w:qFormat/>
    <w:rsid w:val="00396e5f"/>
    <w:pPr>
      <w:spacing w:lineRule="auto" w:line="240" w:before="0" w:after="0"/>
      <w:ind w:left="110" w:right="110" w:hanging="0"/>
      <w:jc w:val="both"/>
    </w:pPr>
    <w:rPr>
      <w:rFonts w:ascii="Verdana" w:hAnsi="Verdana" w:eastAsia="Times New Roman" w:cs="Times New Roman"/>
      <w:bCs/>
      <w:color w:val="000000"/>
      <w:sz w:val="18"/>
      <w:szCs w:val="24"/>
      <w:lang w:eastAsia="pl-PL"/>
    </w:rPr>
  </w:style>
  <w:style w:type="paragraph" w:styleId="Tytu">
    <w:name w:val="Title"/>
    <w:basedOn w:val="Normal"/>
    <w:next w:val="Normal"/>
    <w:link w:val="TytuZnak"/>
    <w:uiPriority w:val="10"/>
    <w:qFormat/>
    <w:rsid w:val="00dd50ec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bip.um.wroc.pl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B06761-2688-4F5F-9F42-DD911DC03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LibreOffice/6.4.1.2$Windows_X86_64 LibreOffice_project/4d224e95b98b138af42a64d84056446d09082932</Application>
  <Pages>12</Pages>
  <Words>2723</Words>
  <Characters>17627</Characters>
  <CharactersWithSpaces>20137</CharactersWithSpaces>
  <Paragraphs>180</Paragraphs>
  <Company>UMW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2021-09-01T07:12:00Z</dcterms:created>
  <dc:creator>umjobi02</dc:creator>
  <dc:description/>
  <dc:language>pl-PL</dc:language>
  <cp:lastModifiedBy>Marta Kolibska </cp:lastModifiedBy>
  <cp:lastPrinted>2021-07-20T06:29:00Z</cp:lastPrinted>
  <dcterms:modified xsi:type="dcterms:W3CDTF">2021-09-03T09:11:05Z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UMW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