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3E" w:rsidRDefault="00B11F3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OBWIESZCZENIE  PREZYDENTA  WROCŁAWIA</w:t>
      </w:r>
    </w:p>
    <w:p w:rsidR="00B11F3E" w:rsidRDefault="00B11F3E">
      <w:pPr>
        <w:jc w:val="both"/>
        <w:rPr>
          <w:sz w:val="18"/>
          <w:szCs w:val="18"/>
        </w:rPr>
      </w:pPr>
    </w:p>
    <w:p w:rsidR="00B11F3E" w:rsidRDefault="00B11F3E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11f ust. 3 i 4 ustawy z dnia 10 kwietnia 2003 r. – o szczególnych zasadach przygotowania i realizacji inwestycji w zakresie dróg publicznych (jednolity tekst: Dz. U. z 2020 r., poz. 1363, ze zmianami) oraz na podstawie art. 49 § 1 ustawy z dnia 14 czerwca 1960 r. - Kodeks postępowania administracyjnego (jednolity tekst: Dz. U. z 2021 r., poz. 735)</w:t>
      </w:r>
    </w:p>
    <w:p w:rsidR="00B11F3E" w:rsidRDefault="00B11F3E">
      <w:pPr>
        <w:jc w:val="both"/>
        <w:rPr>
          <w:sz w:val="18"/>
          <w:szCs w:val="18"/>
        </w:rPr>
      </w:pPr>
    </w:p>
    <w:p w:rsidR="00B11F3E" w:rsidRDefault="00B11F3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zawiadamiam  strony  postępowania,</w:t>
      </w:r>
    </w:p>
    <w:p w:rsidR="00B11F3E" w:rsidRDefault="00B11F3E">
      <w:pPr>
        <w:pStyle w:val="BodyText2"/>
        <w:jc w:val="both"/>
        <w:rPr>
          <w:color w:val="auto"/>
          <w:sz w:val="18"/>
          <w:szCs w:val="18"/>
        </w:rPr>
      </w:pPr>
    </w:p>
    <w:p w:rsidR="00B11F3E" w:rsidRDefault="00B11F3E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</w:t>
      </w:r>
      <w:r>
        <w:rPr>
          <w:b/>
          <w:bCs/>
          <w:color w:val="auto"/>
          <w:sz w:val="18"/>
          <w:szCs w:val="18"/>
        </w:rPr>
        <w:t>08.07.2021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nr 2363/2021 </w:t>
      </w:r>
      <w:r>
        <w:rPr>
          <w:color w:val="auto"/>
          <w:sz w:val="18"/>
          <w:szCs w:val="18"/>
        </w:rPr>
        <w:t xml:space="preserve">o zezwoleniu na realizację inwestycji drogowej, na rzecz Prezydenta Wrocławia, </w:t>
      </w:r>
      <w:bookmarkStart w:id="0" w:name="OLE_LINK18"/>
      <w:bookmarkStart w:id="1" w:name="OLE_LINK20"/>
      <w:r>
        <w:rPr>
          <w:color w:val="auto"/>
          <w:sz w:val="18"/>
          <w:szCs w:val="18"/>
        </w:rPr>
        <w:t>dla zadania pod nazwą</w:t>
      </w:r>
      <w:bookmarkEnd w:id="0"/>
      <w:bookmarkEnd w:id="1"/>
      <w:r>
        <w:rPr>
          <w:color w:val="auto"/>
          <w:sz w:val="18"/>
          <w:szCs w:val="18"/>
        </w:rPr>
        <w:t>:</w:t>
      </w:r>
    </w:p>
    <w:p w:rsidR="00B11F3E" w:rsidRDefault="00B11F3E">
      <w:pPr>
        <w:pStyle w:val="BodyText2"/>
        <w:jc w:val="both"/>
        <w:rPr>
          <w:color w:val="auto"/>
          <w:sz w:val="18"/>
          <w:szCs w:val="18"/>
        </w:rPr>
      </w:pPr>
    </w:p>
    <w:p w:rsidR="00B11F3E" w:rsidRDefault="00B11F3E">
      <w:pPr>
        <w:pStyle w:val="BodyText2"/>
        <w:jc w:val="both"/>
        <w:rPr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„Budowa łącznika drogowego pomiędzy ul. Rakietową a ul. Żwirki i Wigury we Wrocławiu” </w:t>
      </w:r>
      <w:r>
        <w:rPr>
          <w:color w:val="auto"/>
          <w:sz w:val="18"/>
          <w:szCs w:val="18"/>
        </w:rPr>
        <w:t>(z podziałem inwestycji na dwa etapy realizacyjne: Etap 1 i Etap 2)</w:t>
      </w:r>
      <w:r>
        <w:rPr>
          <w:sz w:val="18"/>
          <w:szCs w:val="18"/>
        </w:rPr>
        <w:t xml:space="preserve">, </w:t>
      </w:r>
    </w:p>
    <w:p w:rsidR="00B11F3E" w:rsidRDefault="00B11F3E">
      <w:pPr>
        <w:pStyle w:val="BodyText2"/>
        <w:jc w:val="both"/>
        <w:rPr>
          <w:sz w:val="18"/>
          <w:szCs w:val="18"/>
        </w:rPr>
      </w:pPr>
    </w:p>
    <w:p w:rsidR="00B11F3E" w:rsidRDefault="00B11F3E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której to decyzji </w:t>
      </w:r>
      <w:r>
        <w:rPr>
          <w:b/>
          <w:bCs/>
          <w:color w:val="auto"/>
          <w:sz w:val="18"/>
          <w:szCs w:val="18"/>
        </w:rPr>
        <w:t>nadano rygor natychmiastowej wykonalności</w:t>
      </w:r>
      <w:r>
        <w:rPr>
          <w:color w:val="auto"/>
          <w:sz w:val="18"/>
          <w:szCs w:val="18"/>
        </w:rPr>
        <w:t>.</w:t>
      </w:r>
    </w:p>
    <w:p w:rsidR="00B11F3E" w:rsidRDefault="00B11F3E">
      <w:pPr>
        <w:jc w:val="both"/>
        <w:rPr>
          <w:sz w:val="18"/>
          <w:szCs w:val="18"/>
        </w:rPr>
      </w:pPr>
    </w:p>
    <w:p w:rsidR="00B11F3E" w:rsidRDefault="00B11F3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decyzji jw. </w:t>
      </w:r>
      <w:r>
        <w:rPr>
          <w:b/>
          <w:bCs/>
          <w:sz w:val="18"/>
          <w:szCs w:val="18"/>
        </w:rPr>
        <w:t>zatwierdzeniu podlega podział nieruchomości</w:t>
      </w:r>
      <w:r>
        <w:rPr>
          <w:sz w:val="18"/>
          <w:szCs w:val="18"/>
        </w:rPr>
        <w:t xml:space="preserve">: </w:t>
      </w:r>
    </w:p>
    <w:p w:rsidR="00B11F3E" w:rsidRDefault="00B11F3E">
      <w:pPr>
        <w:jc w:val="both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134"/>
        <w:gridCol w:w="567"/>
        <w:gridCol w:w="1378"/>
        <w:gridCol w:w="1843"/>
        <w:gridCol w:w="1559"/>
        <w:gridCol w:w="2024"/>
      </w:tblGrid>
      <w:tr w:rsidR="00B11F3E">
        <w:trPr>
          <w:cantSplit/>
        </w:trPr>
        <w:tc>
          <w:tcPr>
            <w:tcW w:w="567" w:type="dxa"/>
            <w:vMerge w:val="restart"/>
            <w:vAlign w:val="center"/>
          </w:tcPr>
          <w:p w:rsidR="00B11F3E" w:rsidRDefault="00B11F3E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134" w:type="dxa"/>
            <w:vMerge w:val="restart"/>
            <w:vAlign w:val="center"/>
          </w:tcPr>
          <w:p w:rsidR="00B11F3E" w:rsidRDefault="00B11F3E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vMerge w:val="restart"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221" w:type="dxa"/>
            <w:gridSpan w:val="2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przed podziałem</w:t>
            </w:r>
          </w:p>
        </w:tc>
        <w:tc>
          <w:tcPr>
            <w:tcW w:w="3583" w:type="dxa"/>
            <w:gridSpan w:val="2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po podziale</w:t>
            </w:r>
          </w:p>
        </w:tc>
      </w:tr>
      <w:tr w:rsidR="00B11F3E">
        <w:trPr>
          <w:cantSplit/>
        </w:trPr>
        <w:tc>
          <w:tcPr>
            <w:tcW w:w="567" w:type="dxa"/>
            <w:vMerge/>
            <w:vAlign w:val="center"/>
          </w:tcPr>
          <w:p w:rsidR="00B11F3E" w:rsidRDefault="00B11F3E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F3E" w:rsidRDefault="00B11F3E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11F3E" w:rsidRDefault="00B11F3E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843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  <w:tc>
          <w:tcPr>
            <w:tcW w:w="1559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2024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</w:tr>
      <w:tr w:rsidR="00B11F3E">
        <w:trPr>
          <w:cantSplit/>
        </w:trPr>
        <w:tc>
          <w:tcPr>
            <w:tcW w:w="567" w:type="dxa"/>
            <w:vMerge w:val="restart"/>
            <w:vAlign w:val="center"/>
          </w:tcPr>
          <w:p w:rsidR="00B11F3E" w:rsidRDefault="00B11F3E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1F3E" w:rsidRDefault="00B11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vMerge w:val="restart"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78" w:type="dxa"/>
            <w:vMerge w:val="restart"/>
            <w:vAlign w:val="center"/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843" w:type="dxa"/>
            <w:vMerge w:val="restart"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0.2594</w:t>
            </w:r>
          </w:p>
        </w:tc>
        <w:tc>
          <w:tcPr>
            <w:tcW w:w="1559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1/4</w:t>
            </w:r>
          </w:p>
        </w:tc>
        <w:tc>
          <w:tcPr>
            <w:tcW w:w="2024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0.0224</w:t>
            </w:r>
          </w:p>
        </w:tc>
      </w:tr>
      <w:tr w:rsidR="00B11F3E">
        <w:trPr>
          <w:cantSplit/>
        </w:trPr>
        <w:tc>
          <w:tcPr>
            <w:tcW w:w="567" w:type="dxa"/>
            <w:vMerge/>
            <w:vAlign w:val="center"/>
          </w:tcPr>
          <w:p w:rsidR="00B11F3E" w:rsidRDefault="00B11F3E">
            <w:pPr>
              <w:pStyle w:val="11Trescpisma"/>
              <w:numPr>
                <w:ilvl w:val="0"/>
                <w:numId w:val="7"/>
              </w:numPr>
              <w:spacing w:befor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2024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0.2370</w:t>
            </w:r>
          </w:p>
        </w:tc>
      </w:tr>
      <w:tr w:rsidR="00B11F3E">
        <w:trPr>
          <w:cantSplit/>
        </w:trPr>
        <w:tc>
          <w:tcPr>
            <w:tcW w:w="567" w:type="dxa"/>
            <w:vMerge w:val="restart"/>
            <w:vAlign w:val="center"/>
          </w:tcPr>
          <w:p w:rsidR="00B11F3E" w:rsidRDefault="00B11F3E">
            <w:pPr>
              <w:pStyle w:val="11Trescpisma"/>
              <w:numPr>
                <w:ilvl w:val="0"/>
                <w:numId w:val="7"/>
              </w:numPr>
              <w:spacing w:before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1F3E" w:rsidRDefault="00B11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vMerge w:val="restart"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78" w:type="dxa"/>
            <w:vMerge w:val="restart"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3.6530</w:t>
            </w:r>
          </w:p>
        </w:tc>
        <w:tc>
          <w:tcPr>
            <w:tcW w:w="1559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16/1</w:t>
            </w:r>
          </w:p>
        </w:tc>
        <w:tc>
          <w:tcPr>
            <w:tcW w:w="2024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1.1723</w:t>
            </w:r>
          </w:p>
        </w:tc>
      </w:tr>
      <w:tr w:rsidR="00B11F3E">
        <w:trPr>
          <w:cantSplit/>
        </w:trPr>
        <w:tc>
          <w:tcPr>
            <w:tcW w:w="567" w:type="dxa"/>
            <w:vMerge/>
            <w:vAlign w:val="center"/>
          </w:tcPr>
          <w:p w:rsidR="00B11F3E" w:rsidRDefault="00B11F3E">
            <w:pPr>
              <w:pStyle w:val="11Trescpisma"/>
              <w:numPr>
                <w:ilvl w:val="0"/>
                <w:numId w:val="7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</w:t>
            </w:r>
          </w:p>
        </w:tc>
        <w:tc>
          <w:tcPr>
            <w:tcW w:w="2024" w:type="dxa"/>
          </w:tcPr>
          <w:p w:rsidR="00B11F3E" w:rsidRDefault="00B11F3E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2.4807</w:t>
            </w:r>
          </w:p>
        </w:tc>
      </w:tr>
    </w:tbl>
    <w:p w:rsidR="00B11F3E" w:rsidRDefault="00B11F3E">
      <w:pPr>
        <w:jc w:val="both"/>
        <w:rPr>
          <w:sz w:val="18"/>
          <w:szCs w:val="18"/>
        </w:rPr>
      </w:pPr>
    </w:p>
    <w:p w:rsidR="00B11F3E" w:rsidRDefault="00B11F3E">
      <w:pPr>
        <w:jc w:val="both"/>
        <w:rPr>
          <w:b/>
          <w:bCs/>
          <w:sz w:val="18"/>
          <w:szCs w:val="18"/>
        </w:rPr>
      </w:pPr>
    </w:p>
    <w:p w:rsidR="00B11F3E" w:rsidRDefault="00B11F3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Granice inwestycji</w:t>
      </w:r>
      <w:r>
        <w:rPr>
          <w:sz w:val="18"/>
          <w:szCs w:val="18"/>
        </w:rPr>
        <w:t xml:space="preserve"> ustalone ww. decyzją obejmują: </w:t>
      </w:r>
    </w:p>
    <w:p w:rsidR="00B11F3E" w:rsidRDefault="00B11F3E">
      <w:pPr>
        <w:pStyle w:val="BodyText2"/>
        <w:rPr>
          <w:b/>
          <w:bCs/>
        </w:rPr>
      </w:pPr>
    </w:p>
    <w:p w:rsidR="00B11F3E" w:rsidRDefault="00B11F3E">
      <w:pPr>
        <w:pStyle w:val="BodyText2"/>
        <w:numPr>
          <w:ilvl w:val="0"/>
          <w:numId w:val="12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Nieruchomości położone w liniach rozgraniczających teren, przeznaczone na pas drogowy: </w:t>
      </w:r>
    </w:p>
    <w:p w:rsidR="00B11F3E" w:rsidRDefault="00B11F3E">
      <w:pPr>
        <w:pStyle w:val="BodyText2"/>
        <w:rPr>
          <w:b/>
          <w:bCs/>
          <w:color w:val="auto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5"/>
        <w:gridCol w:w="1580"/>
        <w:gridCol w:w="567"/>
        <w:gridCol w:w="1701"/>
        <w:gridCol w:w="1701"/>
        <w:gridCol w:w="3118"/>
      </w:tblGrid>
      <w:tr w:rsidR="00B11F3E">
        <w:trPr>
          <w:cantSplit/>
          <w:tblHeader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rPr>
                <w:sz w:val="18"/>
                <w:szCs w:val="18"/>
                <w:lang w:val="de-DE"/>
              </w:rPr>
            </w:pPr>
            <w:bookmarkStart w:id="2" w:name="OLE_LINK7"/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Numer działki 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działki </w:t>
            </w:r>
          </w:p>
          <w:p w:rsidR="00B11F3E" w:rsidRDefault="00B11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Powierzchnia zajęcia stałego [ha]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0.0224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0.0807 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0.8480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1.1723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0.2950</w:t>
            </w:r>
          </w:p>
        </w:tc>
      </w:tr>
      <w:bookmarkEnd w:id="2"/>
    </w:tbl>
    <w:p w:rsidR="00B11F3E" w:rsidRDefault="00B11F3E">
      <w:pPr>
        <w:pStyle w:val="14StanowiskoPodpisujacego"/>
        <w:rPr>
          <w:b/>
          <w:bCs/>
        </w:rPr>
      </w:pPr>
    </w:p>
    <w:p w:rsidR="00B11F3E" w:rsidRDefault="00B11F3E">
      <w:pPr>
        <w:pStyle w:val="BodyText2"/>
        <w:numPr>
          <w:ilvl w:val="0"/>
          <w:numId w:val="12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Tereny niezbędne dla realizacji obiektów i robót budowlanych, na których roboty będą prowadzone na podstawie oświadczenia o posiadanym prawie do dysponowania nieruchomościami na cele budowlane:</w:t>
      </w:r>
    </w:p>
    <w:p w:rsidR="00B11F3E" w:rsidRDefault="00B11F3E">
      <w:pPr>
        <w:pStyle w:val="14StanowiskoPodpisujacego"/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7"/>
        <w:gridCol w:w="1598"/>
        <w:gridCol w:w="567"/>
        <w:gridCol w:w="1417"/>
        <w:gridCol w:w="1985"/>
        <w:gridCol w:w="3118"/>
      </w:tblGrid>
      <w:tr w:rsidR="00B11F3E">
        <w:trPr>
          <w:cantSplit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Powierzchnia zajęcia czasowego [m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pStyle w:val="BodyText2"/>
              <w:jc w:val="center"/>
              <w:rPr>
                <w:color w:val="auto"/>
              </w:rPr>
            </w:pPr>
            <w:r>
              <w:rPr>
                <w:color w:val="auto"/>
              </w:rPr>
              <w:t>Cel zajęcia</w:t>
            </w:r>
          </w:p>
        </w:tc>
      </w:tr>
      <w:tr w:rsidR="00B11F3E">
        <w:trPr>
          <w:cantSplit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</w:rPr>
            </w:pPr>
            <w:r>
              <w:rPr>
                <w:color w:val="auto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700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Przebudowa drogi innej kategorii (ul. Rakietowa, droga gminna nr 106215D)</w:t>
            </w:r>
          </w:p>
        </w:tc>
      </w:tr>
      <w:tr w:rsidR="00B11F3E">
        <w:trPr>
          <w:cantSplit/>
          <w:trHeight w:val="214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</w:rPr>
            </w:pPr>
            <w:r>
              <w:rPr>
                <w:color w:val="auto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F3E" w:rsidRDefault="00B11F3E">
            <w:pPr>
              <w:pStyle w:val="BodyText2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Przebudowa drogi innej kategorii (ul. Żwirki i Wigury Zachodnia, droga gminna nr 106427D)</w:t>
            </w:r>
          </w:p>
        </w:tc>
      </w:tr>
      <w:tr w:rsidR="00B11F3E">
        <w:trPr>
          <w:cantSplit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</w:rPr>
            </w:pPr>
            <w:r>
              <w:rPr>
                <w:color w:val="auto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  <w:sz w:val="12"/>
                <w:szCs w:val="12"/>
              </w:rPr>
            </w:pPr>
          </w:p>
        </w:tc>
      </w:tr>
      <w:tr w:rsidR="00B11F3E">
        <w:trPr>
          <w:cantSplit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29"/>
              </w:num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</w:rPr>
            </w:pPr>
            <w:r>
              <w:rPr>
                <w:color w:val="auto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Przebudowa bocznicy</w:t>
            </w:r>
          </w:p>
        </w:tc>
      </w:tr>
    </w:tbl>
    <w:p w:rsidR="00B11F3E" w:rsidRDefault="00B11F3E">
      <w:pPr>
        <w:rPr>
          <w:b/>
          <w:bCs/>
          <w:sz w:val="18"/>
          <w:szCs w:val="18"/>
        </w:rPr>
      </w:pPr>
    </w:p>
    <w:p w:rsidR="00B11F3E" w:rsidRDefault="00B11F3E">
      <w:pPr>
        <w:pStyle w:val="BodyText2"/>
        <w:numPr>
          <w:ilvl w:val="0"/>
          <w:numId w:val="12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Nieruchomości stanowiące tereny wód płynących, położone częściowo w liniach rozgraniczających teren, niewymagające zatwierdzenia podziału, na których prace będą realizowane na podstawie oświadczenia o posiadanym prawie do dysponowania nieruchomościami na cele budowlane:</w:t>
      </w:r>
    </w:p>
    <w:p w:rsidR="00B11F3E" w:rsidRDefault="00B11F3E">
      <w:pPr>
        <w:jc w:val="both"/>
        <w:rPr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7"/>
        <w:gridCol w:w="1598"/>
        <w:gridCol w:w="567"/>
        <w:gridCol w:w="1417"/>
        <w:gridCol w:w="1985"/>
        <w:gridCol w:w="3118"/>
      </w:tblGrid>
      <w:tr w:rsidR="00B11F3E">
        <w:trPr>
          <w:cantSplit/>
          <w:tblHeader/>
        </w:trPr>
        <w:tc>
          <w:tcPr>
            <w:tcW w:w="3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11F3E" w:rsidRDefault="00B11F3E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F3E" w:rsidRDefault="00B11F3E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</w:rPr>
            </w:pPr>
            <w:r>
              <w:rPr>
                <w:color w:val="auto"/>
              </w:rPr>
              <w:t>Numer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F3E" w:rsidRDefault="00B11F3E">
            <w:pPr>
              <w:pStyle w:val="BodyText2"/>
              <w:jc w:val="center"/>
              <w:rPr>
                <w:color w:val="auto"/>
              </w:rPr>
            </w:pPr>
            <w:r>
              <w:rPr>
                <w:color w:val="auto"/>
              </w:rPr>
              <w:t>Powierzchnia zajęcia czasowego [ha]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F3E" w:rsidRDefault="00B11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zajęcia</w:t>
            </w:r>
          </w:p>
        </w:tc>
      </w:tr>
      <w:tr w:rsidR="00B11F3E">
        <w:trPr>
          <w:cantSplit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</w:rPr>
            </w:pPr>
            <w:r>
              <w:rPr>
                <w:color w:val="auto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pStyle w:val="BodyText2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Budowa układu drogowego, budowa obiektu inżynierskiego</w:t>
            </w:r>
          </w:p>
        </w:tc>
      </w:tr>
    </w:tbl>
    <w:p w:rsidR="00B11F3E" w:rsidRDefault="00B11F3E">
      <w:pPr>
        <w:jc w:val="both"/>
        <w:rPr>
          <w:sz w:val="18"/>
          <w:szCs w:val="18"/>
        </w:rPr>
      </w:pPr>
    </w:p>
    <w:p w:rsidR="00B11F3E" w:rsidRDefault="00B11F3E">
      <w:pPr>
        <w:jc w:val="both"/>
        <w:rPr>
          <w:b/>
          <w:bCs/>
          <w:sz w:val="18"/>
          <w:szCs w:val="18"/>
        </w:rPr>
      </w:pPr>
    </w:p>
    <w:p w:rsidR="00B11F3E" w:rsidRDefault="00B11F3E">
      <w:pPr>
        <w:jc w:val="both"/>
        <w:rPr>
          <w:b/>
          <w:bCs/>
          <w:sz w:val="18"/>
          <w:szCs w:val="18"/>
        </w:rPr>
      </w:pPr>
    </w:p>
    <w:p w:rsidR="00B11F3E" w:rsidRDefault="00B11F3E">
      <w:pPr>
        <w:jc w:val="both"/>
        <w:rPr>
          <w:b/>
          <w:bCs/>
          <w:sz w:val="18"/>
          <w:szCs w:val="18"/>
        </w:rPr>
      </w:pPr>
    </w:p>
    <w:p w:rsidR="00B11F3E" w:rsidRDefault="00B11F3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Następujące nieruchomości lub ich części</w:t>
      </w:r>
      <w:r>
        <w:rPr>
          <w:sz w:val="18"/>
          <w:szCs w:val="18"/>
        </w:rPr>
        <w:t>, według katastru nieruchomości,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stają się własnością </w:t>
      </w:r>
      <w:r>
        <w:rPr>
          <w:b/>
          <w:bCs/>
          <w:sz w:val="18"/>
          <w:szCs w:val="18"/>
        </w:rPr>
        <w:t>Gminy Wrocław</w:t>
      </w:r>
      <w:r>
        <w:rPr>
          <w:sz w:val="18"/>
          <w:szCs w:val="18"/>
        </w:rPr>
        <w:t xml:space="preserve">, z dniem uzyskania przez ww. decyzję waloru ostateczności: </w:t>
      </w:r>
    </w:p>
    <w:p w:rsidR="00B11F3E" w:rsidRDefault="00B11F3E">
      <w:pPr>
        <w:jc w:val="both"/>
        <w:rPr>
          <w:b/>
          <w:bCs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5"/>
        <w:gridCol w:w="1580"/>
        <w:gridCol w:w="567"/>
        <w:gridCol w:w="1701"/>
        <w:gridCol w:w="1701"/>
        <w:gridCol w:w="3118"/>
      </w:tblGrid>
      <w:tr w:rsidR="00B11F3E">
        <w:trPr>
          <w:cantSplit/>
          <w:tblHeader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Numer działki 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działki </w:t>
            </w:r>
          </w:p>
          <w:p w:rsidR="00B11F3E" w:rsidRDefault="00B11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Powierzchnia zajęcia stałego [ha]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0.0224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0.0807 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0.8480</w:t>
            </w:r>
          </w:p>
        </w:tc>
      </w:tr>
      <w:tr w:rsidR="00B11F3E">
        <w:trPr>
          <w:cantSplit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r>
              <w:rPr>
                <w:sz w:val="16"/>
                <w:szCs w:val="16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3E" w:rsidRDefault="00B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1.1723</w:t>
            </w:r>
          </w:p>
        </w:tc>
      </w:tr>
    </w:tbl>
    <w:p w:rsidR="00B11F3E" w:rsidRDefault="00B11F3E">
      <w:pPr>
        <w:jc w:val="both"/>
        <w:rPr>
          <w:sz w:val="18"/>
          <w:szCs w:val="18"/>
        </w:rPr>
      </w:pPr>
    </w:p>
    <w:p w:rsidR="00B11F3E" w:rsidRDefault="00B11F3E">
      <w:pPr>
        <w:jc w:val="both"/>
        <w:rPr>
          <w:sz w:val="18"/>
          <w:szCs w:val="18"/>
        </w:rPr>
      </w:pPr>
    </w:p>
    <w:p w:rsidR="00B11F3E" w:rsidRDefault="00B11F3E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49 § 2 Kodeksu postępowania administracyjnego, wskazuje się dzień 13.07.2021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B11F3E" w:rsidRDefault="00B11F3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treścią decyzji oraz aktami sprawy można zapoznać się w Informacji Wydziału Architektury </w:t>
      </w:r>
      <w:r>
        <w:rPr>
          <w:sz w:val="18"/>
          <w:szCs w:val="18"/>
        </w:rPr>
        <w:br/>
        <w:t xml:space="preserve">i Budownictwa Urzędu Miejskiego Wrocławia, pl. Nowy Targ 1-8, parter, pok. 1c stanowisko 5, 6 </w:t>
      </w:r>
      <w:r>
        <w:rPr>
          <w:sz w:val="18"/>
          <w:szCs w:val="18"/>
        </w:rPr>
        <w:br/>
        <w:t xml:space="preserve">i 7, w godz. 8:00-15:00. Ze względów organizacyjnych wskazane jest uprzednie zawiadomienie tut. Wydziału z co najmniej jednodniowym wyprzedzeniem o potrzebie zapewnienia dostępu do akt sprawy (tel. +48 71 777 80 58), co usprawni realizację przysługującego stronie uprawnienia. </w:t>
      </w:r>
    </w:p>
    <w:p w:rsidR="00B11F3E" w:rsidRDefault="00B11F3E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B11F3E" w:rsidRDefault="00B11F3E">
      <w:pPr>
        <w:jc w:val="both"/>
        <w:rPr>
          <w:sz w:val="18"/>
          <w:szCs w:val="18"/>
        </w:rPr>
      </w:pPr>
      <w:r>
        <w:rPr>
          <w:sz w:val="18"/>
          <w:szCs w:val="18"/>
        </w:rPr>
        <w:t>D-ZRID-39934-2020-Rakietowa, Żwirki i Wigury-łącznik</w:t>
      </w:r>
    </w:p>
    <w:p w:rsidR="00B11F3E" w:rsidRDefault="00B11F3E">
      <w:pPr>
        <w:jc w:val="both"/>
        <w:rPr>
          <w:sz w:val="18"/>
          <w:szCs w:val="18"/>
        </w:rPr>
      </w:pPr>
      <w:bookmarkStart w:id="3" w:name="_GoBack"/>
      <w:bookmarkEnd w:id="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 up. PREZYDENTA</w:t>
      </w:r>
    </w:p>
    <w:p w:rsidR="00B11F3E" w:rsidRDefault="00B11F3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Marta Jeżewska</w:t>
      </w:r>
    </w:p>
    <w:p w:rsidR="00B11F3E" w:rsidRDefault="00B11F3E">
      <w:pPr>
        <w:ind w:left="4963" w:firstLine="709"/>
        <w:jc w:val="both"/>
        <w:rPr>
          <w:sz w:val="18"/>
          <w:szCs w:val="18"/>
        </w:rPr>
      </w:pPr>
      <w:r>
        <w:rPr>
          <w:sz w:val="18"/>
          <w:szCs w:val="18"/>
        </w:rPr>
        <w:t>Z-CA DYREKTORA WYDZIAŁU</w:t>
      </w:r>
    </w:p>
    <w:p w:rsidR="00B11F3E" w:rsidRDefault="00B11F3E">
      <w:pPr>
        <w:ind w:left="4963" w:firstLine="709"/>
        <w:jc w:val="both"/>
        <w:rPr>
          <w:sz w:val="18"/>
          <w:szCs w:val="18"/>
        </w:rPr>
      </w:pPr>
      <w:r>
        <w:rPr>
          <w:sz w:val="18"/>
          <w:szCs w:val="18"/>
        </w:rPr>
        <w:t>ARCHITEKTURY I BUDOWNICTWA</w:t>
      </w:r>
    </w:p>
    <w:sectPr w:rsidR="00B11F3E" w:rsidSect="00B11F3E">
      <w:footerReference w:type="default" r:id="rId7"/>
      <w:footerReference w:type="first" r:id="rId8"/>
      <w:pgSz w:w="11906" w:h="16838" w:code="9"/>
      <w:pgMar w:top="1134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F3E" w:rsidRDefault="00B11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11F3E" w:rsidRDefault="00B11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3E" w:rsidRDefault="00B11F3E">
    <w:pPr>
      <w:pStyle w:val="Footer"/>
      <w:rPr>
        <w:rFonts w:ascii="Times New Roman" w:hAnsi="Times New Roman" w:cs="Times New Roman"/>
        <w:sz w:val="14"/>
        <w:szCs w:val="14"/>
      </w:rPr>
    </w:pPr>
  </w:p>
  <w:p w:rsidR="00B11F3E" w:rsidRDefault="00B11F3E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3E" w:rsidRDefault="00B11F3E">
    <w:pPr>
      <w:pStyle w:val="Footer"/>
      <w:rPr>
        <w:rFonts w:ascii="Times New Roman" w:hAnsi="Times New Roman" w:cs="Times New Roman"/>
        <w:sz w:val="8"/>
        <w:szCs w:val="8"/>
      </w:rPr>
    </w:pPr>
  </w:p>
  <w:p w:rsidR="00B11F3E" w:rsidRDefault="00B11F3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F3E" w:rsidRDefault="00B11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11F3E" w:rsidRDefault="00B11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89A1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AF5CCF"/>
    <w:multiLevelType w:val="hybridMultilevel"/>
    <w:tmpl w:val="6AE8D66E"/>
    <w:lvl w:ilvl="0" w:tplc="A69E9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DB76A54"/>
    <w:multiLevelType w:val="hybridMultilevel"/>
    <w:tmpl w:val="CF188802"/>
    <w:lvl w:ilvl="0" w:tplc="F6B896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E697294"/>
    <w:multiLevelType w:val="hybridMultilevel"/>
    <w:tmpl w:val="E92E4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90335F2"/>
    <w:multiLevelType w:val="hybridMultilevel"/>
    <w:tmpl w:val="7BBC80B6"/>
    <w:lvl w:ilvl="0" w:tplc="86445A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45D4099"/>
    <w:multiLevelType w:val="hybridMultilevel"/>
    <w:tmpl w:val="EE0CC508"/>
    <w:lvl w:ilvl="0" w:tplc="3E6A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26D32B86"/>
    <w:multiLevelType w:val="hybridMultilevel"/>
    <w:tmpl w:val="77F4628A"/>
    <w:lvl w:ilvl="0" w:tplc="3DC2A86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9001572"/>
    <w:multiLevelType w:val="hybridMultilevel"/>
    <w:tmpl w:val="CB040636"/>
    <w:lvl w:ilvl="0" w:tplc="DEE22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9B8214E"/>
    <w:multiLevelType w:val="hybridMultilevel"/>
    <w:tmpl w:val="C178D0C6"/>
    <w:lvl w:ilvl="0" w:tplc="E63C4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7B0215"/>
    <w:multiLevelType w:val="hybridMultilevel"/>
    <w:tmpl w:val="128AA4CE"/>
    <w:lvl w:ilvl="0" w:tplc="F110A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C2D4B11"/>
    <w:multiLevelType w:val="hybridMultilevel"/>
    <w:tmpl w:val="1070F9CA"/>
    <w:lvl w:ilvl="0" w:tplc="62ACDE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3E242C7F"/>
    <w:multiLevelType w:val="hybridMultilevel"/>
    <w:tmpl w:val="9F44A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2712F39"/>
    <w:multiLevelType w:val="hybridMultilevel"/>
    <w:tmpl w:val="C406A628"/>
    <w:lvl w:ilvl="0" w:tplc="BCEE74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0B610C7"/>
    <w:multiLevelType w:val="hybridMultilevel"/>
    <w:tmpl w:val="9E9A0A40"/>
    <w:lvl w:ilvl="0" w:tplc="128495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2304B10"/>
    <w:multiLevelType w:val="hybridMultilevel"/>
    <w:tmpl w:val="F85ED5A0"/>
    <w:lvl w:ilvl="0" w:tplc="517A2D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0D86730"/>
    <w:multiLevelType w:val="hybridMultilevel"/>
    <w:tmpl w:val="B88AF942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750B74E1"/>
    <w:multiLevelType w:val="hybridMultilevel"/>
    <w:tmpl w:val="4F168512"/>
    <w:lvl w:ilvl="0" w:tplc="11E2832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CE83337"/>
    <w:multiLevelType w:val="hybridMultilevel"/>
    <w:tmpl w:val="2B6E6D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3"/>
  </w:num>
  <w:num w:numId="7">
    <w:abstractNumId w:val="9"/>
  </w:num>
  <w:num w:numId="8">
    <w:abstractNumId w:val="23"/>
  </w:num>
  <w:num w:numId="9">
    <w:abstractNumId w:val="7"/>
  </w:num>
  <w:num w:numId="10">
    <w:abstractNumId w:val="24"/>
  </w:num>
  <w:num w:numId="11">
    <w:abstractNumId w:val="16"/>
  </w:num>
  <w:num w:numId="12">
    <w:abstractNumId w:val="2"/>
  </w:num>
  <w:num w:numId="13">
    <w:abstractNumId w:val="20"/>
  </w:num>
  <w:num w:numId="14">
    <w:abstractNumId w:val="8"/>
  </w:num>
  <w:num w:numId="15">
    <w:abstractNumId w:val="19"/>
  </w:num>
  <w:num w:numId="16">
    <w:abstractNumId w:val="5"/>
  </w:num>
  <w:num w:numId="17">
    <w:abstractNumId w:val="22"/>
  </w:num>
  <w:num w:numId="18">
    <w:abstractNumId w:val="12"/>
  </w:num>
  <w:num w:numId="19">
    <w:abstractNumId w:val="17"/>
  </w:num>
  <w:num w:numId="20">
    <w:abstractNumId w:val="25"/>
  </w:num>
  <w:num w:numId="21">
    <w:abstractNumId w:val="27"/>
  </w:num>
  <w:num w:numId="22">
    <w:abstractNumId w:val="10"/>
  </w:num>
  <w:num w:numId="23">
    <w:abstractNumId w:val="26"/>
  </w:num>
  <w:num w:numId="24">
    <w:abstractNumId w:val="14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"/>
  </w:num>
  <w:num w:numId="29">
    <w:abstractNumId w:val="18"/>
  </w:num>
  <w:num w:numId="30">
    <w:abstractNumId w:val="21"/>
  </w:num>
  <w:num w:numId="31">
    <w:abstractNumId w:val="4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F3E"/>
    <w:rsid w:val="00B1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hAnsi="Verdana" w:cs="Verdana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z w:val="22"/>
      <w:szCs w:val="22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5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ormalnyPo6pt">
    <w:name w:val="Normalny + Po:  6 pt"/>
    <w:basedOn w:val="Normal"/>
    <w:uiPriority w:val="99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efaultParagraphFont"/>
    <w:uiPriority w:val="99"/>
    <w:rPr>
      <w:rFonts w:ascii="Times New Roman" w:hAnsi="Times New Roman" w:cs="Times New Roman"/>
    </w:rPr>
  </w:style>
  <w:style w:type="character" w:customStyle="1" w:styleId="txt-new">
    <w:name w:val="txt-new"/>
    <w:basedOn w:val="DefaultParagraphFont"/>
    <w:uiPriority w:val="99"/>
    <w:rPr>
      <w:rFonts w:ascii="Times New Roman" w:hAnsi="Times New Roman" w:cs="Times New Roman"/>
    </w:rPr>
  </w:style>
  <w:style w:type="character" w:customStyle="1" w:styleId="tabulatory">
    <w:name w:val="tabulatory"/>
    <w:basedOn w:val="DefaultParagraphFont"/>
    <w:uiPriority w:val="99"/>
    <w:rPr>
      <w:rFonts w:ascii="Times New Roman" w:hAnsi="Times New Roman" w:cs="Times New Roman"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  <w:style w:type="paragraph" w:styleId="ListBullet">
    <w:name w:val="List Bullet"/>
    <w:basedOn w:val="Normal"/>
    <w:autoRedefine/>
    <w:uiPriority w:val="99"/>
    <w:pPr>
      <w:tabs>
        <w:tab w:val="left" w:pos="708"/>
      </w:tabs>
      <w:jc w:val="both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ipercze4">
    <w:name w:val="Hiperłącze4"/>
    <w:basedOn w:val="DefaultParagraphFont"/>
    <w:uiPriority w:val="99"/>
    <w:rPr>
      <w:rFonts w:ascii="Times New Roman" w:hAnsi="Times New Roman" w:cs="Times New Roman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g-bindingng-scope">
    <w:name w:val="ng-binding ng-scop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Verdana" w:hAnsi="Verdana" w:cs="Verdana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ext-justify">
    <w:name w:val="text-justify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lbalb-wt">
    <w:name w:val="a_lb a_lb-wt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BodyText21">
    <w:name w:val="Body Text 21"/>
    <w:basedOn w:val="Normal"/>
    <w:uiPriority w:val="99"/>
    <w:pPr>
      <w:jc w:val="both"/>
    </w:pPr>
    <w:rPr>
      <w:sz w:val="24"/>
      <w:szCs w:val="24"/>
    </w:rPr>
  </w:style>
  <w:style w:type="paragraph" w:customStyle="1" w:styleId="Styl1">
    <w:name w:val="Styl1"/>
    <w:basedOn w:val="Normal"/>
    <w:uiPriority w:val="99"/>
    <w:pPr>
      <w:tabs>
        <w:tab w:val="left" w:pos="284"/>
        <w:tab w:val="left" w:pos="993"/>
      </w:tabs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"/>
    <w:uiPriority w:val="9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/>
    </w:rPr>
  </w:style>
  <w:style w:type="character" w:customStyle="1" w:styleId="ng-binding">
    <w:name w:val="ng-binding"/>
    <w:basedOn w:val="DefaultParagraphFont"/>
    <w:uiPriority w:val="99"/>
    <w:rPr>
      <w:rFonts w:ascii="Times New Roman" w:hAnsi="Times New Roman" w:cs="Times New Roman"/>
    </w:rPr>
  </w:style>
  <w:style w:type="character" w:customStyle="1" w:styleId="ng-scope">
    <w:name w:val="ng-scope"/>
    <w:basedOn w:val="DefaultParagraphFont"/>
    <w:uiPriority w:val="99"/>
    <w:rPr>
      <w:rFonts w:ascii="Times New Roman" w:hAnsi="Times New Roman" w:cs="Times New Roman"/>
    </w:rPr>
  </w:style>
  <w:style w:type="character" w:customStyle="1" w:styleId="fn-ref">
    <w:name w:val="fn-ref"/>
    <w:basedOn w:val="DefaultParagraphFont"/>
    <w:uiPriority w:val="99"/>
    <w:rPr>
      <w:rFonts w:ascii="Times New Roman" w:hAnsi="Times New Roman" w:cs="Times New Roman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 w:cs="Cambria"/>
      <w:sz w:val="24"/>
      <w:szCs w:val="24"/>
    </w:rPr>
  </w:style>
  <w:style w:type="paragraph" w:customStyle="1" w:styleId="Style14">
    <w:name w:val="Style14"/>
    <w:basedOn w:val="Normal"/>
    <w:uiPriority w:val="99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 w:cs="Cambria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highlight1">
    <w:name w:val="highlight1"/>
    <w:uiPriority w:val="99"/>
    <w:rPr>
      <w:b/>
      <w:bCs/>
    </w:rPr>
  </w:style>
  <w:style w:type="paragraph" w:customStyle="1" w:styleId="Tekstpodstawowy22">
    <w:name w:val="Tekst podstawowy 22"/>
    <w:basedOn w:val="Normal"/>
    <w:uiPriority w:val="99"/>
    <w:pPr>
      <w:jc w:val="both"/>
    </w:pPr>
    <w:rPr>
      <w:sz w:val="24"/>
      <w:szCs w:val="24"/>
    </w:rPr>
  </w:style>
  <w:style w:type="paragraph" w:customStyle="1" w:styleId="Normalny1">
    <w:name w:val="Normalny1"/>
    <w:uiPriority w:val="99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efaultParagraphFon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Haładewicz</dc:creator>
  <cp:keywords/>
  <dc:description/>
  <cp:lastModifiedBy>umdabi01</cp:lastModifiedBy>
  <cp:revision>4</cp:revision>
  <cp:lastPrinted>2021-07-08T11:29:00Z</cp:lastPrinted>
  <dcterms:created xsi:type="dcterms:W3CDTF">2021-07-08T11:29:00Z</dcterms:created>
  <dcterms:modified xsi:type="dcterms:W3CDTF">2021-07-09T06:10:00Z</dcterms:modified>
</cp:coreProperties>
</file>