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407" w:rsidRPr="00E13D77" w:rsidRDefault="007F3407" w:rsidP="00E13D77">
      <w:pPr>
        <w:spacing w:line="271" w:lineRule="auto"/>
        <w:rPr>
          <w:rFonts w:ascii="Verdana" w:hAnsi="Verdana"/>
          <w:sz w:val="24"/>
          <w:szCs w:val="24"/>
        </w:rPr>
      </w:pPr>
      <w:r w:rsidRPr="00E13D77">
        <w:rPr>
          <w:rFonts w:ascii="Verdana" w:hAnsi="Verdana"/>
          <w:sz w:val="24"/>
          <w:szCs w:val="24"/>
        </w:rPr>
        <w:t>zał. nr 3</w:t>
      </w:r>
    </w:p>
    <w:p w:rsidR="007F3407" w:rsidRPr="00E13D77" w:rsidRDefault="007F3407" w:rsidP="00E13D77">
      <w:pPr>
        <w:pStyle w:val="Nagwek1"/>
        <w:rPr>
          <w:rFonts w:ascii="Verdana" w:hAnsi="Verdana"/>
          <w:sz w:val="24"/>
          <w:szCs w:val="24"/>
        </w:rPr>
      </w:pPr>
      <w:r w:rsidRPr="00E13D77">
        <w:rPr>
          <w:rFonts w:ascii="Verdana" w:hAnsi="Verdana"/>
          <w:sz w:val="24"/>
          <w:szCs w:val="24"/>
        </w:rPr>
        <w:t xml:space="preserve">Informacje ogólne dla zainteresowanych w udziałem we wstępnych konsultacjach rynkowych (zwanych dalej Uczestnikami) </w:t>
      </w:r>
    </w:p>
    <w:p w:rsidR="00E13D77" w:rsidRDefault="00E13D77" w:rsidP="00E13D77">
      <w:pPr>
        <w:spacing w:after="0" w:line="23" w:lineRule="atLeast"/>
        <w:contextualSpacing/>
        <w:rPr>
          <w:rFonts w:ascii="Verdana" w:hAnsi="Verdana"/>
          <w:sz w:val="24"/>
          <w:szCs w:val="24"/>
        </w:rPr>
      </w:pPr>
    </w:p>
    <w:p w:rsidR="00A67448" w:rsidRPr="00E13D77" w:rsidRDefault="00A67448" w:rsidP="00E13D77">
      <w:pPr>
        <w:spacing w:after="0" w:line="23" w:lineRule="atLeast"/>
        <w:contextualSpacing/>
        <w:rPr>
          <w:rFonts w:ascii="Verdana" w:hAnsi="Verdana"/>
          <w:sz w:val="24"/>
          <w:szCs w:val="24"/>
          <w:lang w:val="pl-PL"/>
        </w:rPr>
      </w:pPr>
      <w:r w:rsidRPr="00E13D77">
        <w:rPr>
          <w:rFonts w:ascii="Verdana" w:hAnsi="Verdana"/>
          <w:sz w:val="24"/>
          <w:szCs w:val="24"/>
          <w:lang w:val="pl-PL"/>
        </w:rPr>
        <w:t>W grudniu 2022 r. kończy się umowa z operatorem (firmą Nextbike Polska S.A. w restrukturyzacji) systemu samoobsługowej wypożyc</w:t>
      </w:r>
      <w:r w:rsidR="006C1CCC" w:rsidRPr="00E13D77">
        <w:rPr>
          <w:rFonts w:ascii="Verdana" w:hAnsi="Verdana"/>
          <w:sz w:val="24"/>
          <w:szCs w:val="24"/>
          <w:lang w:val="pl-PL"/>
        </w:rPr>
        <w:t>zalni rowerów publicznych</w:t>
      </w:r>
      <w:r w:rsidRPr="00E13D77">
        <w:rPr>
          <w:rFonts w:ascii="Verdana" w:hAnsi="Verdana"/>
          <w:sz w:val="24"/>
          <w:szCs w:val="24"/>
          <w:lang w:val="pl-PL"/>
        </w:rPr>
        <w:t xml:space="preserve"> (działającej pod nazwą Wrocławski Rower Miejski). </w:t>
      </w:r>
    </w:p>
    <w:p w:rsidR="00A67448" w:rsidRPr="00E13D77" w:rsidRDefault="00A67448" w:rsidP="00E13D77">
      <w:pPr>
        <w:spacing w:after="0" w:line="23" w:lineRule="atLeast"/>
        <w:contextualSpacing/>
        <w:rPr>
          <w:rFonts w:ascii="Verdana" w:hAnsi="Verdana"/>
          <w:sz w:val="24"/>
          <w:szCs w:val="24"/>
          <w:lang w:val="pl-PL"/>
        </w:rPr>
      </w:pPr>
    </w:p>
    <w:p w:rsidR="00A67448" w:rsidRPr="00E13D77" w:rsidRDefault="00A67448" w:rsidP="00E13D77">
      <w:pPr>
        <w:spacing w:after="0" w:line="23" w:lineRule="atLeast"/>
        <w:contextualSpacing/>
        <w:rPr>
          <w:rFonts w:ascii="Verdana" w:hAnsi="Verdana"/>
          <w:sz w:val="24"/>
          <w:szCs w:val="24"/>
        </w:rPr>
      </w:pPr>
      <w:r w:rsidRPr="00E13D77">
        <w:rPr>
          <w:rFonts w:ascii="Verdana" w:hAnsi="Verdana"/>
          <w:sz w:val="24"/>
          <w:szCs w:val="24"/>
        </w:rPr>
        <w:t>W związku z tym, że Gmina Wrocław zamierza kontynuować projekt wypożyczalni rowerów publicznych, przygotowujemy postępowanie przetargowe mające na celu określenie wymagań co do przyszłej nowej wypożyczalni (model wypożyczalni), w tym m.in. chcemy przeprowadzić wstępne konsultacje rynkowe</w:t>
      </w:r>
    </w:p>
    <w:p w:rsidR="00A67448" w:rsidRPr="00E13D77" w:rsidRDefault="00A67448" w:rsidP="00E13D77">
      <w:pPr>
        <w:spacing w:after="0" w:line="23" w:lineRule="atLeast"/>
        <w:contextualSpacing/>
        <w:rPr>
          <w:rFonts w:ascii="Verdana" w:hAnsi="Verdana"/>
          <w:sz w:val="24"/>
          <w:szCs w:val="24"/>
        </w:rPr>
      </w:pPr>
    </w:p>
    <w:p w:rsidR="00A67448" w:rsidRPr="00E13D77" w:rsidRDefault="00A67448" w:rsidP="00E13D77">
      <w:pPr>
        <w:spacing w:after="0" w:line="23" w:lineRule="atLeast"/>
        <w:contextualSpacing/>
        <w:rPr>
          <w:rFonts w:ascii="Verdana" w:hAnsi="Verdana"/>
          <w:sz w:val="24"/>
          <w:szCs w:val="24"/>
        </w:rPr>
      </w:pPr>
      <w:r w:rsidRPr="00E13D77">
        <w:rPr>
          <w:rFonts w:ascii="Verdana" w:hAnsi="Verdana"/>
          <w:sz w:val="24"/>
          <w:szCs w:val="24"/>
        </w:rPr>
        <w:t xml:space="preserve">Rowery publiczne we Wrocławiu działają od czerwca 2011 r. Aktualnie (tj. od stycznia 2019 roku) system składa się z 2265 rowerów, 220 stacji. Rowery można wypożyczać i zwracać zarówno na stacjach, jak i poza nimi w granicach administracyjnych Wrocławia (z wyjątkiem stref wyłączonych, takich jak np. tereny kolejowe, lasy, itp.). 65 rowerów spośród ogólnej liczby, to rowery niestandardowe (towarowe, dziecięce, elektryczne, składaki i handbike). </w:t>
      </w:r>
      <w:r w:rsidR="009916A2" w:rsidRPr="00E13D77">
        <w:rPr>
          <w:rFonts w:ascii="Verdana" w:hAnsi="Verdana"/>
          <w:sz w:val="24"/>
          <w:szCs w:val="24"/>
        </w:rPr>
        <w:t>Użytkownik może zarejestrować się</w:t>
      </w:r>
      <w:r w:rsidRPr="00E13D77">
        <w:rPr>
          <w:rFonts w:ascii="Verdana" w:hAnsi="Verdana"/>
          <w:sz w:val="24"/>
          <w:szCs w:val="24"/>
        </w:rPr>
        <w:t xml:space="preserve"> w systemie </w:t>
      </w:r>
      <w:r w:rsidR="009916A2" w:rsidRPr="00E13D77">
        <w:rPr>
          <w:rFonts w:ascii="Verdana" w:hAnsi="Verdana"/>
          <w:sz w:val="24"/>
          <w:szCs w:val="24"/>
        </w:rPr>
        <w:t>za pośrednictwem strony www, aplikacji lub w terminalu na stacji (na 40 stacjach są zainstalowane terminale). Aby korzystać z systemu użytkownik musi także wpłacić 10 zł (tzw. opłata inicjalna-zwrotna po rezygnacji z korzystania z systemu) i utrzymywać stale saldo w wysokości 10 zł. Wypożyczenie roweru standardowego jest przez pierwsze 20 minut bezpłatne. Rower można wypożyczyć maksymalnie na 12 godz. Szczegółowy opis systemu znajduje się na stronie https://wroclawskirower.pl.</w:t>
      </w:r>
    </w:p>
    <w:p w:rsidR="007F3407" w:rsidRPr="00E13D77" w:rsidRDefault="007F3407" w:rsidP="00E13D77">
      <w:pPr>
        <w:spacing w:after="0" w:line="23" w:lineRule="atLeast"/>
        <w:contextualSpacing/>
        <w:rPr>
          <w:rFonts w:ascii="Verdana" w:hAnsi="Verdana" w:cs="Verdana"/>
          <w:sz w:val="24"/>
          <w:szCs w:val="24"/>
        </w:rPr>
      </w:pPr>
    </w:p>
    <w:p w:rsidR="007F3407" w:rsidRPr="00E13D77" w:rsidRDefault="007F3407" w:rsidP="00E13D77">
      <w:pPr>
        <w:spacing w:after="0" w:line="23" w:lineRule="atLeast"/>
        <w:contextualSpacing/>
        <w:rPr>
          <w:rFonts w:ascii="Verdana" w:hAnsi="Verdana" w:cs="Verdana"/>
          <w:iCs/>
          <w:sz w:val="24"/>
          <w:szCs w:val="24"/>
        </w:rPr>
      </w:pPr>
      <w:r w:rsidRPr="00E13D77">
        <w:rPr>
          <w:rFonts w:ascii="Verdana" w:hAnsi="Verdana" w:cs="Verdana"/>
          <w:iCs/>
          <w:color w:val="000000"/>
          <w:sz w:val="24"/>
          <w:szCs w:val="24"/>
        </w:rPr>
        <w:t>Celem wstępnych konsultacji rynkowych jest pozyskanie przez Zamawiającego informacji, które mogą być wykorzystane przy przygotowywaniu opisu przedmiotu zamówienia, specyfikacji warunków zamówienia (SWZ) oraz określenia warunków umowy, z zachowaniem zas</w:t>
      </w:r>
      <w:r w:rsidRPr="00E13D77">
        <w:rPr>
          <w:rFonts w:ascii="Verdana" w:hAnsi="Verdana" w:cs="Verdana"/>
          <w:iCs/>
          <w:color w:val="000000"/>
          <w:sz w:val="24"/>
          <w:szCs w:val="24"/>
        </w:rPr>
        <w:t>a</w:t>
      </w:r>
      <w:r w:rsidRPr="00E13D77">
        <w:rPr>
          <w:rFonts w:ascii="Verdana" w:hAnsi="Verdana" w:cs="Verdana"/>
          <w:iCs/>
          <w:color w:val="000000"/>
          <w:sz w:val="24"/>
          <w:szCs w:val="24"/>
        </w:rPr>
        <w:t xml:space="preserve">dy uczciwej konkurencji i równego traktowania potencjalnych wykonawców i oferowanych przez nich rozwiązań, zgodnie z zasadami proporcjonalności i przejrzystości. </w:t>
      </w:r>
      <w:r w:rsidRPr="00E13D77">
        <w:rPr>
          <w:rFonts w:ascii="Verdana" w:hAnsi="Verdana" w:cs="Verdana"/>
          <w:iCs/>
          <w:sz w:val="24"/>
          <w:szCs w:val="24"/>
        </w:rPr>
        <w:t>W szczególności oczekuje się, że wstępne konsultacje rynkowe pozwolą na uzyskanie informacji w zakresie najlepszych i najkorzystniejszych technicznie, technologicznie, o</w:t>
      </w:r>
      <w:r w:rsidRPr="00E13D77">
        <w:rPr>
          <w:rFonts w:ascii="Verdana" w:hAnsi="Verdana" w:cs="Verdana"/>
          <w:iCs/>
          <w:sz w:val="24"/>
          <w:szCs w:val="24"/>
        </w:rPr>
        <w:t>r</w:t>
      </w:r>
      <w:r w:rsidRPr="00E13D77">
        <w:rPr>
          <w:rFonts w:ascii="Verdana" w:hAnsi="Verdana" w:cs="Verdana"/>
          <w:iCs/>
          <w:sz w:val="24"/>
          <w:szCs w:val="24"/>
        </w:rPr>
        <w:t>ganizacyjnie oraz ekonomicznie rozwiązań mogących służyć realizacji przedsięwzięcia.</w:t>
      </w:r>
    </w:p>
    <w:p w:rsidR="007F3407" w:rsidRPr="00E13D77" w:rsidRDefault="007F3407" w:rsidP="00E13D77">
      <w:pPr>
        <w:spacing w:after="0" w:line="23" w:lineRule="atLeast"/>
        <w:contextualSpacing/>
        <w:rPr>
          <w:rFonts w:ascii="Verdana" w:hAnsi="Verdana" w:cs="Verdana"/>
          <w:iCs/>
          <w:sz w:val="24"/>
          <w:szCs w:val="24"/>
        </w:rPr>
      </w:pPr>
      <w:r w:rsidRPr="00E13D77">
        <w:rPr>
          <w:rFonts w:ascii="Verdana" w:hAnsi="Verdana" w:cs="Verdana"/>
          <w:iCs/>
          <w:sz w:val="24"/>
          <w:szCs w:val="24"/>
        </w:rPr>
        <w:t>W toku technicznego wstępnych konsultacji rynkowych Zamawiający oczekuje omówienia następujących zagadnień:</w:t>
      </w:r>
    </w:p>
    <w:p w:rsidR="007F3407" w:rsidRPr="00E13D77" w:rsidRDefault="007F3407" w:rsidP="00E13D77">
      <w:pPr>
        <w:spacing w:after="0" w:line="23" w:lineRule="atLeast"/>
        <w:contextualSpacing/>
        <w:rPr>
          <w:rFonts w:ascii="Verdana" w:hAnsi="Verdana" w:cs="Verdana"/>
          <w:iCs/>
          <w:sz w:val="24"/>
          <w:szCs w:val="24"/>
        </w:rPr>
      </w:pPr>
      <w:r w:rsidRPr="00E13D77">
        <w:rPr>
          <w:rFonts w:ascii="Verdana" w:hAnsi="Verdana" w:cs="Verdana"/>
          <w:iCs/>
          <w:sz w:val="24"/>
          <w:szCs w:val="24"/>
        </w:rPr>
        <w:t>Charakterystyka  systemu Wrocławskiego Roweru Miejskiego,</w:t>
      </w:r>
    </w:p>
    <w:p w:rsidR="00E13D77" w:rsidRPr="00E13D77" w:rsidRDefault="007F3407" w:rsidP="00E13D77">
      <w:pPr>
        <w:spacing w:after="0" w:line="23" w:lineRule="atLeast"/>
        <w:contextualSpacing/>
        <w:rPr>
          <w:rFonts w:ascii="Verdana" w:hAnsi="Verdana" w:cs="Verdana"/>
          <w:iCs/>
          <w:sz w:val="24"/>
          <w:szCs w:val="24"/>
        </w:rPr>
      </w:pPr>
      <w:r w:rsidRPr="00E13D77">
        <w:rPr>
          <w:rFonts w:ascii="Verdana" w:hAnsi="Verdana" w:cs="Verdana"/>
          <w:iCs/>
          <w:sz w:val="24"/>
          <w:szCs w:val="24"/>
        </w:rPr>
        <w:t>Parametry określające skalę systemu: liczba rowerów i ich rodzaje (i ewentualnie stacji i ich lok</w:t>
      </w:r>
      <w:r w:rsidRPr="00E13D77">
        <w:rPr>
          <w:rFonts w:ascii="Verdana" w:hAnsi="Verdana" w:cs="Verdana"/>
          <w:iCs/>
          <w:sz w:val="24"/>
          <w:szCs w:val="24"/>
        </w:rPr>
        <w:t>a</w:t>
      </w:r>
      <w:r w:rsidRPr="00E13D77">
        <w:rPr>
          <w:rFonts w:ascii="Verdana" w:hAnsi="Verdana" w:cs="Verdana"/>
          <w:iCs/>
          <w:sz w:val="24"/>
          <w:szCs w:val="24"/>
        </w:rPr>
        <w:t>lizacja wraz z określeniem rodzaju stacji)</w:t>
      </w:r>
    </w:p>
    <w:p w:rsidR="007F3407" w:rsidRPr="00E13D77" w:rsidRDefault="007F3407" w:rsidP="00E13D77">
      <w:pPr>
        <w:spacing w:after="0" w:line="23" w:lineRule="atLeast"/>
        <w:contextualSpacing/>
        <w:rPr>
          <w:rFonts w:ascii="Verdana" w:hAnsi="Verdana"/>
          <w:iCs/>
          <w:sz w:val="24"/>
          <w:szCs w:val="24"/>
        </w:rPr>
      </w:pPr>
      <w:r w:rsidRPr="00E13D77">
        <w:rPr>
          <w:rFonts w:ascii="Verdana" w:hAnsi="Verdana" w:cs="Verdana"/>
          <w:iCs/>
          <w:sz w:val="24"/>
          <w:szCs w:val="24"/>
        </w:rPr>
        <w:lastRenderedPageBreak/>
        <w:t>Rozwiązania technologiczne i techniczne (w tym oprogramowanie</w:t>
      </w:r>
      <w:r w:rsidR="003675CB" w:rsidRPr="00E13D77">
        <w:rPr>
          <w:rFonts w:ascii="Verdana" w:hAnsi="Verdana" w:cs="Verdana"/>
          <w:iCs/>
          <w:sz w:val="24"/>
          <w:szCs w:val="24"/>
        </w:rPr>
        <w:t>)</w:t>
      </w:r>
      <w:r w:rsidRPr="00E13D77">
        <w:rPr>
          <w:rFonts w:ascii="Verdana" w:hAnsi="Verdana" w:cs="Verdana"/>
          <w:iCs/>
          <w:sz w:val="24"/>
          <w:szCs w:val="24"/>
        </w:rPr>
        <w:t>,</w:t>
      </w:r>
    </w:p>
    <w:p w:rsidR="007F3407" w:rsidRPr="00E13D77" w:rsidRDefault="007F3407" w:rsidP="00E13D77">
      <w:pPr>
        <w:spacing w:after="0" w:line="23" w:lineRule="atLeast"/>
        <w:contextualSpacing/>
        <w:rPr>
          <w:rFonts w:ascii="Verdana" w:hAnsi="Verdana"/>
          <w:iCs/>
          <w:sz w:val="24"/>
          <w:szCs w:val="24"/>
        </w:rPr>
      </w:pPr>
      <w:r w:rsidRPr="00E13D77">
        <w:rPr>
          <w:rFonts w:ascii="Verdana" w:hAnsi="Verdana" w:cs="Verdana"/>
          <w:iCs/>
          <w:sz w:val="24"/>
          <w:szCs w:val="24"/>
        </w:rPr>
        <w:t>Zasady i warunki współpracy pomiędzy stronami</w:t>
      </w:r>
      <w:r w:rsidRPr="00E13D77">
        <w:rPr>
          <w:rFonts w:ascii="Verdana" w:hAnsi="Verdana"/>
          <w:iCs/>
          <w:sz w:val="24"/>
          <w:szCs w:val="24"/>
        </w:rPr>
        <w:t xml:space="preserve"> ,</w:t>
      </w:r>
    </w:p>
    <w:p w:rsidR="007F3407" w:rsidRPr="00E13D77" w:rsidRDefault="007F3407" w:rsidP="00E13D77">
      <w:pPr>
        <w:spacing w:after="0" w:line="23" w:lineRule="atLeast"/>
        <w:contextualSpacing/>
        <w:rPr>
          <w:rFonts w:ascii="Verdana" w:hAnsi="Verdana"/>
          <w:iCs/>
          <w:sz w:val="24"/>
          <w:szCs w:val="24"/>
        </w:rPr>
      </w:pPr>
      <w:r w:rsidRPr="00E13D77">
        <w:rPr>
          <w:rFonts w:ascii="Verdana" w:hAnsi="Verdana"/>
          <w:iCs/>
          <w:sz w:val="24"/>
          <w:szCs w:val="24"/>
        </w:rPr>
        <w:t xml:space="preserve">Możliwość współpracy z zewnętrznymi podmiotami (np. wypożyczanie za pomocą aplikacji innych niż operatora systemu, możliwość integracji z komunikacją </w:t>
      </w:r>
      <w:r w:rsidR="009916A2" w:rsidRPr="00E13D77">
        <w:rPr>
          <w:rFonts w:ascii="Verdana" w:hAnsi="Verdana"/>
          <w:iCs/>
          <w:sz w:val="24"/>
          <w:szCs w:val="24"/>
        </w:rPr>
        <w:t>zbiorową</w:t>
      </w:r>
      <w:r w:rsidRPr="00E13D77">
        <w:rPr>
          <w:rFonts w:ascii="Verdana" w:hAnsi="Verdana"/>
          <w:iCs/>
          <w:sz w:val="24"/>
          <w:szCs w:val="24"/>
        </w:rPr>
        <w:t xml:space="preserve"> – wzajemna uznawanie abonamentów/biletów okresowych),</w:t>
      </w:r>
    </w:p>
    <w:p w:rsidR="009916A2" w:rsidRPr="00E13D77" w:rsidRDefault="009916A2" w:rsidP="00E13D77">
      <w:pPr>
        <w:spacing w:after="0" w:line="23" w:lineRule="atLeast"/>
        <w:contextualSpacing/>
        <w:rPr>
          <w:rFonts w:ascii="Verdana" w:hAnsi="Verdana"/>
          <w:iCs/>
          <w:sz w:val="24"/>
          <w:szCs w:val="24"/>
        </w:rPr>
      </w:pPr>
      <w:r w:rsidRPr="00E13D77">
        <w:rPr>
          <w:rFonts w:ascii="Verdana" w:hAnsi="Verdana"/>
          <w:iCs/>
          <w:sz w:val="24"/>
          <w:szCs w:val="24"/>
        </w:rPr>
        <w:t>Zniżki dla osób korzystających z komunikacji zbiorowej</w:t>
      </w:r>
      <w:r w:rsidR="003675CB" w:rsidRPr="00E13D77">
        <w:rPr>
          <w:rFonts w:ascii="Verdana" w:hAnsi="Verdana"/>
          <w:iCs/>
          <w:sz w:val="24"/>
          <w:szCs w:val="24"/>
        </w:rPr>
        <w:t>,</w:t>
      </w:r>
    </w:p>
    <w:p w:rsidR="00F04CA7" w:rsidRPr="00E13D77" w:rsidRDefault="00F04CA7" w:rsidP="00E13D77">
      <w:pPr>
        <w:spacing w:after="0" w:line="23" w:lineRule="atLeast"/>
        <w:contextualSpacing/>
        <w:rPr>
          <w:rFonts w:ascii="Verdana" w:hAnsi="Verdana"/>
          <w:iCs/>
          <w:sz w:val="24"/>
          <w:szCs w:val="24"/>
        </w:rPr>
      </w:pPr>
      <w:r w:rsidRPr="00E13D77">
        <w:rPr>
          <w:rFonts w:ascii="Verdana" w:hAnsi="Verdana"/>
          <w:iCs/>
          <w:sz w:val="24"/>
          <w:szCs w:val="24"/>
        </w:rPr>
        <w:t>Zniżki dla osób posiadających kartę „Mój Wrocław”,</w:t>
      </w:r>
    </w:p>
    <w:p w:rsidR="007F3407" w:rsidRPr="00E13D77" w:rsidRDefault="007F3407" w:rsidP="00E13D77">
      <w:pPr>
        <w:spacing w:after="0" w:line="23" w:lineRule="atLeast"/>
        <w:contextualSpacing/>
        <w:rPr>
          <w:rFonts w:ascii="Verdana" w:hAnsi="Verdana"/>
          <w:iCs/>
          <w:sz w:val="24"/>
          <w:szCs w:val="24"/>
        </w:rPr>
      </w:pPr>
      <w:r w:rsidRPr="00E13D77">
        <w:rPr>
          <w:rFonts w:ascii="Verdana" w:hAnsi="Verdana"/>
          <w:iCs/>
          <w:sz w:val="24"/>
          <w:szCs w:val="24"/>
        </w:rPr>
        <w:t>Możliwość współpracy z koleją,</w:t>
      </w:r>
    </w:p>
    <w:p w:rsidR="00E13D77" w:rsidRPr="00E13D77" w:rsidRDefault="007F3407" w:rsidP="00E13D77">
      <w:pPr>
        <w:spacing w:after="0" w:line="23" w:lineRule="atLeast"/>
        <w:contextualSpacing/>
        <w:rPr>
          <w:rFonts w:ascii="Verdana" w:hAnsi="Verdana"/>
          <w:iCs/>
          <w:sz w:val="24"/>
          <w:szCs w:val="24"/>
        </w:rPr>
      </w:pPr>
      <w:r w:rsidRPr="00E13D77">
        <w:rPr>
          <w:rFonts w:ascii="Verdana" w:hAnsi="Verdana"/>
          <w:iCs/>
          <w:sz w:val="24"/>
          <w:szCs w:val="24"/>
        </w:rPr>
        <w:t>Możliwość</w:t>
      </w:r>
      <w:r w:rsidR="009916A2" w:rsidRPr="00E13D77">
        <w:rPr>
          <w:rFonts w:ascii="Verdana" w:hAnsi="Verdana"/>
          <w:iCs/>
          <w:sz w:val="24"/>
          <w:szCs w:val="24"/>
        </w:rPr>
        <w:t xml:space="preserve"> współpracy z miejscowościami ościennymi w ramach aglomeracji wrocławskiej,</w:t>
      </w:r>
    </w:p>
    <w:p w:rsidR="007F3407" w:rsidRPr="00E13D77" w:rsidRDefault="007F3407" w:rsidP="00E13D77">
      <w:pPr>
        <w:spacing w:after="0" w:line="23" w:lineRule="atLeast"/>
        <w:contextualSpacing/>
        <w:rPr>
          <w:rFonts w:ascii="Verdana" w:hAnsi="Verdana" w:cs="Verdana"/>
          <w:bCs/>
          <w:iCs/>
          <w:sz w:val="24"/>
          <w:szCs w:val="24"/>
        </w:rPr>
      </w:pPr>
      <w:r w:rsidRPr="00E13D77">
        <w:rPr>
          <w:rFonts w:ascii="Verdana" w:hAnsi="Verdana" w:cs="Verdana"/>
          <w:iCs/>
          <w:sz w:val="24"/>
          <w:szCs w:val="24"/>
        </w:rPr>
        <w:t>Aspekty, na które warto zwrócić uwagę przy realizacji WRM.</w:t>
      </w:r>
    </w:p>
    <w:p w:rsidR="00E13D77" w:rsidRPr="00E13D77" w:rsidRDefault="00E13D77" w:rsidP="00E13D77">
      <w:pPr>
        <w:spacing w:after="0" w:line="23" w:lineRule="atLeast"/>
        <w:contextualSpacing/>
        <w:rPr>
          <w:rFonts w:ascii="Verdana" w:hAnsi="Verdana" w:cs="Verdana"/>
          <w:bCs/>
          <w:iCs/>
          <w:sz w:val="24"/>
          <w:szCs w:val="24"/>
        </w:rPr>
      </w:pPr>
    </w:p>
    <w:sectPr w:rsidR="00E13D77" w:rsidRPr="00E13D77">
      <w:footerReference w:type="even" r:id="rId7"/>
      <w:footerReference w:type="default" r:id="rId8"/>
      <w:pgSz w:w="11906" w:h="16838"/>
      <w:pgMar w:top="1134" w:right="1418" w:bottom="1242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77C" w:rsidRDefault="00E2577C">
      <w:r>
        <w:separator/>
      </w:r>
    </w:p>
  </w:endnote>
  <w:endnote w:type="continuationSeparator" w:id="1">
    <w:p w:rsidR="00E2577C" w:rsidRDefault="00E257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5CB" w:rsidRDefault="003675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675CB" w:rsidRDefault="003675CB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5CB" w:rsidRDefault="003675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13D77">
      <w:rPr>
        <w:rStyle w:val="Numerstrony"/>
        <w:noProof/>
      </w:rPr>
      <w:t>2</w:t>
    </w:r>
    <w:r>
      <w:rPr>
        <w:rStyle w:val="Numerstrony"/>
      </w:rPr>
      <w:fldChar w:fldCharType="end"/>
    </w:r>
  </w:p>
  <w:p w:rsidR="003675CB" w:rsidRDefault="003675CB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77C" w:rsidRDefault="00E2577C">
      <w:r>
        <w:separator/>
      </w:r>
    </w:p>
  </w:footnote>
  <w:footnote w:type="continuationSeparator" w:id="1">
    <w:p w:rsidR="00E2577C" w:rsidRDefault="00E257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erdana" w:hAnsi="Verdana" w:cs="Verdana"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Symbol" w:hAnsi="Symbol" w:cs="Symbol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20"/>
        <w:szCs w:val="18"/>
      </w:rPr>
    </w:lvl>
  </w:abstractNum>
  <w:abstractNum w:abstractNumId="2">
    <w:nsid w:val="051C44E5"/>
    <w:multiLevelType w:val="hybridMultilevel"/>
    <w:tmpl w:val="2BFE171E"/>
    <w:lvl w:ilvl="0" w:tplc="715C4B44">
      <w:start w:val="1"/>
      <w:numFmt w:val="lowerLetter"/>
      <w:lvlText w:val="%1)"/>
      <w:lvlJc w:val="left"/>
      <w:pPr>
        <w:ind w:left="1146" w:hanging="360"/>
      </w:pPr>
      <w:rPr>
        <w:rFonts w:ascii="Verdana" w:hAnsi="Verdana" w:cs="Times New Roman" w:hint="default"/>
        <w:b w:val="0"/>
        <w:i w:val="0"/>
        <w:sz w:val="24"/>
      </w:rPr>
    </w:lvl>
    <w:lvl w:ilvl="1" w:tplc="4FDE685A">
      <w:start w:val="1"/>
      <w:numFmt w:val="decimal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4BE4F40"/>
    <w:multiLevelType w:val="hybridMultilevel"/>
    <w:tmpl w:val="C8F289E0"/>
    <w:lvl w:ilvl="0" w:tplc="715C4B44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B4786"/>
    <w:multiLevelType w:val="hybridMultilevel"/>
    <w:tmpl w:val="3DDA24BE"/>
    <w:lvl w:ilvl="0" w:tplc="A8C632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A8C632F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A50577B"/>
    <w:multiLevelType w:val="hybridMultilevel"/>
    <w:tmpl w:val="60946B02"/>
    <w:lvl w:ilvl="0" w:tplc="308264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9CF72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C43BCF"/>
    <w:multiLevelType w:val="hybridMultilevel"/>
    <w:tmpl w:val="52447498"/>
    <w:lvl w:ilvl="0" w:tplc="947020C0">
      <w:start w:val="1"/>
      <w:numFmt w:val="decimal"/>
      <w:lvlText w:val="%1)"/>
      <w:lvlJc w:val="left"/>
      <w:pPr>
        <w:ind w:left="1571" w:hanging="360"/>
      </w:pPr>
      <w:rPr>
        <w:rFonts w:ascii="Verdana" w:hAnsi="Verdana" w:hint="default"/>
        <w:b w:val="0"/>
        <w:i w:val="0"/>
        <w:sz w:val="20"/>
      </w:rPr>
    </w:lvl>
    <w:lvl w:ilvl="1" w:tplc="63B69DE2">
      <w:start w:val="1"/>
      <w:numFmt w:val="decimal"/>
      <w:lvlText w:val="%2)"/>
      <w:lvlJc w:val="left"/>
      <w:pPr>
        <w:ind w:left="2291" w:hanging="360"/>
      </w:pPr>
      <w:rPr>
        <w:rFonts w:ascii="Verdana" w:hAnsi="Verdana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5873059D"/>
    <w:multiLevelType w:val="hybridMultilevel"/>
    <w:tmpl w:val="FFCE0EDC"/>
    <w:lvl w:ilvl="0" w:tplc="715C4B44">
      <w:start w:val="1"/>
      <w:numFmt w:val="lowerLetter"/>
      <w:lvlText w:val="%1)"/>
      <w:lvlJc w:val="left"/>
      <w:pPr>
        <w:ind w:left="1080" w:hanging="360"/>
      </w:pPr>
      <w:rPr>
        <w:rFonts w:ascii="Verdana" w:hAnsi="Verdana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9AF6A73"/>
    <w:multiLevelType w:val="hybridMultilevel"/>
    <w:tmpl w:val="83889C50"/>
    <w:lvl w:ilvl="0" w:tplc="749C0A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FC20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E093BDF"/>
    <w:multiLevelType w:val="hybridMultilevel"/>
    <w:tmpl w:val="CBAAD22A"/>
    <w:lvl w:ilvl="0" w:tplc="A8C632F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4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3407"/>
    <w:rsid w:val="000073ED"/>
    <w:rsid w:val="00085904"/>
    <w:rsid w:val="00294928"/>
    <w:rsid w:val="003675CB"/>
    <w:rsid w:val="004E3ADA"/>
    <w:rsid w:val="006C1CCC"/>
    <w:rsid w:val="007F3407"/>
    <w:rsid w:val="00830978"/>
    <w:rsid w:val="009916A2"/>
    <w:rsid w:val="00A67448"/>
    <w:rsid w:val="00AE3BE6"/>
    <w:rsid w:val="00D72BC4"/>
    <w:rsid w:val="00E13D77"/>
    <w:rsid w:val="00E2577C"/>
    <w:rsid w:val="00F04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3D77"/>
  </w:style>
  <w:style w:type="paragraph" w:styleId="Nagwek1">
    <w:name w:val="heading 1"/>
    <w:basedOn w:val="Normalny"/>
    <w:next w:val="Normalny"/>
    <w:link w:val="Nagwek1Znak"/>
    <w:uiPriority w:val="9"/>
    <w:qFormat/>
    <w:rsid w:val="00E13D7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3D7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3D7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3D7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3D7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3D7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3D7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3D7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3D7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3D77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Style6">
    <w:name w:val="Style6"/>
    <w:basedOn w:val="Normalny"/>
    <w:rsid w:val="007F3407"/>
    <w:pPr>
      <w:widowControl w:val="0"/>
      <w:autoSpaceDE w:val="0"/>
    </w:pPr>
    <w:rPr>
      <w:rFonts w:ascii="Calibri" w:hAnsi="Calibri"/>
      <w:lang w:eastAsia="ar-SA"/>
    </w:rPr>
  </w:style>
  <w:style w:type="paragraph" w:styleId="Tekstpodstawowy">
    <w:name w:val="Body Text"/>
    <w:basedOn w:val="Normalny"/>
    <w:link w:val="TekstpodstawowyZnak"/>
    <w:semiHidden/>
    <w:rsid w:val="007F3407"/>
    <w:pPr>
      <w:suppressAutoHyphens/>
      <w:jc w:val="both"/>
    </w:pPr>
    <w:rPr>
      <w:rFonts w:ascii="Verdana" w:hAnsi="Verdana"/>
      <w:sz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F3407"/>
    <w:rPr>
      <w:rFonts w:ascii="Verdana" w:eastAsia="Times New Roman" w:hAnsi="Verdana" w:cs="Times New Roman"/>
      <w:sz w:val="20"/>
      <w:szCs w:val="24"/>
      <w:lang w:eastAsia="ar-SA"/>
    </w:rPr>
  </w:style>
  <w:style w:type="paragraph" w:customStyle="1" w:styleId="Indeks">
    <w:name w:val="Indeks"/>
    <w:basedOn w:val="Normalny"/>
    <w:rsid w:val="007F3407"/>
    <w:pPr>
      <w:suppressLineNumbers/>
      <w:suppressAutoHyphens/>
    </w:pPr>
    <w:rPr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7F3407"/>
    <w:pPr>
      <w:suppressAutoHyphens/>
      <w:ind w:left="1416"/>
    </w:pPr>
    <w:rPr>
      <w:rFonts w:ascii="Verdana" w:hAnsi="Verdana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F3407"/>
    <w:rPr>
      <w:rFonts w:ascii="Verdana" w:eastAsia="Times New Roman" w:hAnsi="Verdana" w:cs="Times New Roman"/>
      <w:sz w:val="20"/>
      <w:szCs w:val="20"/>
      <w:lang w:eastAsia="ar-SA"/>
    </w:rPr>
  </w:style>
  <w:style w:type="character" w:styleId="Numerstrony">
    <w:name w:val="page number"/>
    <w:basedOn w:val="Domylnaczcionkaakapitu"/>
    <w:semiHidden/>
    <w:rsid w:val="007F3407"/>
  </w:style>
  <w:style w:type="paragraph" w:styleId="Stopka">
    <w:name w:val="footer"/>
    <w:basedOn w:val="Normalny"/>
    <w:link w:val="StopkaZnak"/>
    <w:semiHidden/>
    <w:rsid w:val="007F3407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StopkaZnak">
    <w:name w:val="Stopka Znak"/>
    <w:basedOn w:val="Domylnaczcionkaakapitu"/>
    <w:link w:val="Stopka"/>
    <w:semiHidden/>
    <w:rsid w:val="007F34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13D7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3D7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13D77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3D7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3D7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3D7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3D77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3D77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3D7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E13D7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13D7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3D7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13D7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E13D77"/>
    <w:rPr>
      <w:b/>
      <w:bCs/>
    </w:rPr>
  </w:style>
  <w:style w:type="character" w:styleId="Uwydatnienie">
    <w:name w:val="Emphasis"/>
    <w:uiPriority w:val="20"/>
    <w:qFormat/>
    <w:rsid w:val="00E13D7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E13D77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E13D77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E13D77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3D7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3D77"/>
    <w:rPr>
      <w:b/>
      <w:bCs/>
      <w:i/>
      <w:iCs/>
    </w:rPr>
  </w:style>
  <w:style w:type="character" w:styleId="Wyrnieniedelikatne">
    <w:name w:val="Subtle Emphasis"/>
    <w:uiPriority w:val="19"/>
    <w:qFormat/>
    <w:rsid w:val="00E13D77"/>
    <w:rPr>
      <w:i/>
      <w:iCs/>
    </w:rPr>
  </w:style>
  <w:style w:type="character" w:styleId="Wyrnienieintensywne">
    <w:name w:val="Intense Emphasis"/>
    <w:uiPriority w:val="21"/>
    <w:qFormat/>
    <w:rsid w:val="00E13D77"/>
    <w:rPr>
      <w:b/>
      <w:bCs/>
    </w:rPr>
  </w:style>
  <w:style w:type="character" w:styleId="Odwoaniedelikatne">
    <w:name w:val="Subtle Reference"/>
    <w:uiPriority w:val="31"/>
    <w:qFormat/>
    <w:rsid w:val="00E13D77"/>
    <w:rPr>
      <w:smallCaps/>
    </w:rPr>
  </w:style>
  <w:style w:type="character" w:styleId="Odwoanieintensywne">
    <w:name w:val="Intense Reference"/>
    <w:uiPriority w:val="32"/>
    <w:qFormat/>
    <w:rsid w:val="00E13D77"/>
    <w:rPr>
      <w:smallCaps/>
      <w:spacing w:val="5"/>
      <w:u w:val="single"/>
    </w:rPr>
  </w:style>
  <w:style w:type="character" w:styleId="Tytuksiki">
    <w:name w:val="Book Title"/>
    <w:uiPriority w:val="33"/>
    <w:qFormat/>
    <w:rsid w:val="00E13D77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13D7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umarwe01</dc:creator>
  <cp:lastModifiedBy>ummaza15</cp:lastModifiedBy>
  <cp:revision>2</cp:revision>
  <dcterms:created xsi:type="dcterms:W3CDTF">2021-05-26T05:52:00Z</dcterms:created>
  <dcterms:modified xsi:type="dcterms:W3CDTF">2021-05-26T05:52:00Z</dcterms:modified>
</cp:coreProperties>
</file>